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right" w:pos="9072"/>
        </w:tabs>
        <w:spacing w:after="0" w:line="240" w:lineRule="auto"/>
        <w:rPr>
          <w:rFonts w:cs="Arial"/>
          <w:color w:val="C00000"/>
          <w:sz w:val="51"/>
          <w:szCs w:val="61"/>
          <w:lang w:val="en-US"/>
        </w:rPr>
      </w:pPr>
      <w:r>
        <w:rPr>
          <w:rFonts w:cs="Arial"/>
          <w:color w:val="C00000"/>
          <w:sz w:val="50"/>
          <w:szCs w:val="50"/>
          <w:lang w:val="en-US"/>
        </w:rPr>
        <w:t>PRESS RELEASE</w:t>
      </w:r>
    </w:p>
    <w:p>
      <w:pPr>
        <w:pStyle w:val="Title"/>
        <w:pBdr>
          <w:top w:val="nil"/>
          <w:left w:val="nil"/>
          <w:bottom w:val="nil"/>
          <w:right w:val="nil"/>
        </w:pBdr>
        <w:jc w:val="left"/>
        <w:rPr>
          <w:rFonts w:asciiTheme="minorHAnsi" w:hAnsiTheme="minorHAnsi"/>
          <w:b w:val="0"/>
          <w:szCs w:val="22"/>
          <w:lang w:val="en-US"/>
        </w:rPr>
      </w:pPr>
      <w:r>
        <w:rPr>
          <w:rFonts w:asciiTheme="minorHAnsi" w:hAnsiTheme="minorHAnsi"/>
          <w:b w:val="0"/>
          <w:szCs w:val="22"/>
          <w:lang w:val="en-US"/>
        </w:rPr>
        <w:t>Released April 19, 2021</w:t>
      </w:r>
    </w:p>
    <w:p>
      <w:pPr>
        <w:pStyle w:val="Title"/>
        <w:pBdr>
          <w:top w:val="nil"/>
          <w:left w:val="nil"/>
          <w:bottom w:val="nil"/>
          <w:right w:val="nil"/>
        </w:pBdr>
        <w:jc w:val="left"/>
        <w:rPr>
          <w:rFonts w:asciiTheme="minorHAnsi" w:hAnsiTheme="minorHAnsi"/>
          <w:b w:val="0"/>
          <w:szCs w:val="22"/>
          <w:lang w:val="en-US"/>
        </w:rPr>
      </w:pPr>
    </w:p>
    <w:p>
      <w:pPr>
        <w:pStyle w:val="Title"/>
        <w:pBdr>
          <w:top w:val="nil"/>
          <w:left w:val="nil"/>
          <w:bottom w:val="nil"/>
          <w:right w:val="nil"/>
        </w:pBdr>
        <w:jc w:val="left"/>
        <w:rPr>
          <w:lang w:val="en-US"/>
        </w:rPr>
      </w:pPr>
      <w:r>
        <w:rPr>
          <w:rFonts w:asciiTheme="minorHAnsi" w:hAnsiTheme="minorHAnsi"/>
          <w:b w:val="0"/>
          <w:szCs w:val="22"/>
          <w:lang w:val="en-US"/>
        </w:rPr>
        <w:t xml:space="preserve">To download </w:t>
      </w:r>
      <w:r>
        <w:rPr>
          <w:rFonts w:asciiTheme="minorHAnsi" w:hAnsiTheme="minorHAnsi"/>
          <w:b w:val="0"/>
          <w:bCs w:val="0"/>
          <w:szCs w:val="22"/>
          <w:lang w:val="en-US"/>
        </w:rPr>
        <w:t xml:space="preserve">a 300dpi print quality image, go to </w:t>
      </w:r>
      <w:hyperlink r:id="rId5" w:history="1">
        <w:r>
          <w:rPr>
            <w:rStyle w:val="Hyperlink"/>
            <w:rFonts w:asciiTheme="minorHAnsi" w:hAnsiTheme="minorHAnsi"/>
            <w:b w:val="0"/>
            <w:bCs w:val="0"/>
            <w:szCs w:val="22"/>
            <w:lang w:val="en-US"/>
          </w:rPr>
          <w:t>parkfield.co.uk/e2s-usa/m-series-upgrade-print.jpg</w:t>
        </w:r>
      </w:hyperlink>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 xml:space="preserve">To download a Word file of the text, go to </w:t>
      </w:r>
      <w:hyperlink r:id="rId6" w:history="1">
        <w:r>
          <w:rPr>
            <w:rStyle w:val="Hyperlink"/>
            <w:lang w:val="en-US"/>
          </w:rPr>
          <w:t>parkfield.co.uk/e2s-usa/m-series-upgrade.docx</w:t>
        </w:r>
      </w:hyperlink>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 xml:space="preserve">To view all E2S press information, go to </w:t>
      </w:r>
      <w:hyperlink r:id="rId7" w:history="1">
        <w:r>
          <w:rPr>
            <w:rStyle w:val="Hyperlink"/>
            <w:bCs/>
            <w:lang w:val="en-US"/>
          </w:rPr>
          <w:t>parkfield.co.uk/e2s-usa/</w:t>
        </w:r>
      </w:hyperlink>
      <w:r>
        <w:rPr>
          <w:lang w:val="en-US"/>
        </w:rPr>
        <w:br/>
      </w:r>
    </w:p>
    <w:p>
      <w:pPr>
        <w:spacing w:after="0" w:line="280" w:lineRule="exact"/>
        <w:rPr>
          <w:rFonts w:ascii="Calibri" w:eastAsia="Times New Roman" w:hAnsi="Calibri" w:cs="Calibri"/>
          <w:lang w:val="en-US" w:eastAsia="zh-CN"/>
        </w:rPr>
      </w:pPr>
      <w:r>
        <w:rPr>
          <w:rFonts w:ascii="Calibri" w:eastAsia="Times New Roman" w:hAnsi="Calibri" w:cs="Calibri"/>
          <w:b/>
          <w:bCs/>
          <w:lang w:val="en-US" w:eastAsia="zh-CN"/>
        </w:rPr>
        <w:t>E2S M series upgraded alarm horn sounders in IP66/67 Type 4/4X/13 enclosures</w:t>
      </w:r>
    </w:p>
    <w:p>
      <w:pPr>
        <w:spacing w:after="0" w:line="280" w:lineRule="exact"/>
        <w:rPr>
          <w:rFonts w:ascii="Calibri" w:eastAsia="Times New Roman" w:hAnsi="Calibri" w:cs="Calibri"/>
          <w:lang w:val="en-US" w:eastAsia="zh-CN"/>
        </w:rPr>
      </w:pPr>
    </w:p>
    <w:p>
      <w:pPr>
        <w:spacing w:after="0" w:line="280" w:lineRule="exact"/>
        <w:rPr>
          <w:rFonts w:ascii="Calibri" w:eastAsia="Times New Roman" w:hAnsi="Calibri" w:cs="Calibri"/>
          <w:lang w:val="en-US" w:eastAsia="zh-CN"/>
        </w:rPr>
      </w:pPr>
      <w:r>
        <w:rPr>
          <w:rFonts w:ascii="Calibri" w:eastAsia="Times New Roman" w:hAnsi="Calibri" w:cs="Calibri"/>
          <w:lang w:val="en-US" w:eastAsia="zh-CN"/>
        </w:rPr>
        <w:t xml:space="preserve">E2S Warning Signals, global leader in audible and visual notification devices, has introduced the next generation of its M range industrial alarm horn sounders. The new </w:t>
      </w:r>
      <w:hyperlink r:id="rId8" w:history="1">
        <w:r>
          <w:rPr>
            <w:rFonts w:ascii="Calibri" w:eastAsia="Times New Roman" w:hAnsi="Calibri" w:cs="Calibri"/>
            <w:color w:val="0000FF"/>
            <w:u w:val="single"/>
            <w:lang w:val="en-US" w:eastAsia="zh-CN"/>
          </w:rPr>
          <w:t>MA1F</w:t>
        </w:r>
      </w:hyperlink>
      <w:r>
        <w:rPr>
          <w:rFonts w:ascii="Calibri" w:eastAsia="Times New Roman" w:hAnsi="Calibri" w:cs="Calibri"/>
          <w:lang w:val="en-US" w:eastAsia="zh-CN"/>
        </w:rPr>
        <w:t xml:space="preserve"> and the </w:t>
      </w:r>
      <w:hyperlink r:id="rId9" w:history="1">
        <w:r>
          <w:rPr>
            <w:rFonts w:ascii="Calibri" w:eastAsia="Times New Roman" w:hAnsi="Calibri" w:cs="Calibri"/>
            <w:color w:val="0000FF"/>
            <w:u w:val="single"/>
            <w:lang w:val="en-US" w:eastAsia="zh-CN"/>
          </w:rPr>
          <w:t>MA2F</w:t>
        </w:r>
      </w:hyperlink>
      <w:r>
        <w:rPr>
          <w:rFonts w:ascii="Calibri" w:eastAsia="Times New Roman" w:hAnsi="Calibri" w:cs="Calibri"/>
          <w:lang w:val="en-US" w:eastAsia="zh-CN"/>
        </w:rPr>
        <w:t xml:space="preserve"> employ the enclosure and mounting as previous MA112 and MA121 versions but now feature enhanced electronics containing the latest in D Class amplifier technology, with lower in-rush current, wider voltage range, lower current consumption and improved alarm tone choice and control.</w:t>
      </w:r>
    </w:p>
    <w:p>
      <w:pPr>
        <w:spacing w:after="0" w:line="280" w:lineRule="exact"/>
        <w:rPr>
          <w:rFonts w:ascii="Calibri" w:eastAsia="Times New Roman" w:hAnsi="Calibri" w:cs="Calibri"/>
          <w:lang w:val="en-US" w:eastAsia="zh-CN"/>
        </w:rPr>
      </w:pPr>
    </w:p>
    <w:p>
      <w:pPr>
        <w:spacing w:after="0" w:line="280" w:lineRule="exact"/>
        <w:rPr>
          <w:rFonts w:ascii="Calibri" w:eastAsia="Times New Roman" w:hAnsi="Calibri" w:cs="Calibri"/>
          <w:lang w:val="en-US" w:eastAsia="zh-CN"/>
        </w:rPr>
      </w:pPr>
      <w:r>
        <w:rPr>
          <w:rFonts w:ascii="Calibri" w:eastAsia="Times New Roman" w:hAnsi="Calibri" w:cs="Calibri"/>
          <w:lang w:val="en-US" w:eastAsia="zh-CN"/>
        </w:rPr>
        <w:t xml:space="preserve">The </w:t>
      </w:r>
      <w:hyperlink r:id="rId10" w:history="1">
        <w:r>
          <w:rPr>
            <w:rFonts w:ascii="Calibri" w:eastAsia="Times New Roman" w:hAnsi="Calibri" w:cs="Calibri"/>
            <w:color w:val="0000FF"/>
            <w:u w:val="single"/>
            <w:lang w:val="en-US" w:eastAsia="zh-CN"/>
          </w:rPr>
          <w:t>MA1F</w:t>
        </w:r>
      </w:hyperlink>
      <w:r>
        <w:rPr>
          <w:rFonts w:ascii="Calibri" w:eastAsia="Times New Roman" w:hAnsi="Calibri" w:cs="Calibri"/>
          <w:lang w:val="en-US" w:eastAsia="zh-CN"/>
        </w:rPr>
        <w:t xml:space="preserve"> uses a standard directional flare horn; the </w:t>
      </w:r>
      <w:hyperlink r:id="rId11" w:history="1">
        <w:r>
          <w:rPr>
            <w:rFonts w:ascii="Calibri" w:eastAsia="Times New Roman" w:hAnsi="Calibri" w:cs="Calibri"/>
            <w:color w:val="0000FF"/>
            <w:u w:val="single"/>
            <w:lang w:val="en-US" w:eastAsia="zh-CN"/>
          </w:rPr>
          <w:t>MA1R</w:t>
        </w:r>
      </w:hyperlink>
      <w:r>
        <w:rPr>
          <w:rFonts w:ascii="Calibri" w:eastAsia="Times New Roman" w:hAnsi="Calibri" w:cs="Calibri"/>
          <w:lang w:val="en-US" w:eastAsia="zh-CN"/>
        </w:rPr>
        <w:t xml:space="preserve"> features the innovative E2S ‘1R’ omni-directional horn that is particularly suitable for applications requiring a compact device. For higher sound output requirements, the new </w:t>
      </w:r>
      <w:hyperlink r:id="rId12" w:history="1">
        <w:r>
          <w:rPr>
            <w:rFonts w:ascii="Calibri" w:eastAsia="Times New Roman" w:hAnsi="Calibri" w:cs="Calibri"/>
            <w:color w:val="0000FF"/>
            <w:u w:val="single"/>
            <w:lang w:val="en-US" w:eastAsia="zh-CN"/>
          </w:rPr>
          <w:t>MA2H</w:t>
        </w:r>
      </w:hyperlink>
      <w:r>
        <w:rPr>
          <w:rFonts w:ascii="Calibri" w:eastAsia="Times New Roman" w:hAnsi="Calibri" w:cs="Calibri"/>
          <w:lang w:val="en-US" w:eastAsia="zh-CN"/>
        </w:rPr>
        <w:t xml:space="preserve"> alarm horn sounder utilizes the new E2S ‘2H’ super high output flare horn, which is engineered to maximize audible signaling performance across the widest range of frequencies at a sound level of up to 130dB(A). View the full specification details </w:t>
      </w:r>
      <w:hyperlink r:id="rId13" w:history="1">
        <w:r>
          <w:rPr>
            <w:rFonts w:ascii="Calibri" w:eastAsia="Times New Roman" w:hAnsi="Calibri" w:cs="Calibri"/>
            <w:color w:val="0000FF"/>
            <w:u w:val="single"/>
            <w:lang w:val="en-US" w:eastAsia="zh-CN"/>
          </w:rPr>
          <w:t>here</w:t>
        </w:r>
      </w:hyperlink>
      <w:r>
        <w:rPr>
          <w:rFonts w:ascii="Calibri" w:eastAsia="Times New Roman" w:hAnsi="Calibri" w:cs="Calibri"/>
          <w:lang w:val="en-US" w:eastAsia="zh-CN"/>
        </w:rPr>
        <w:t>.</w:t>
      </w:r>
      <w:r>
        <w:rPr>
          <w:rFonts w:ascii="Calibri" w:eastAsia="Times New Roman" w:hAnsi="Calibri" w:cs="Calibri"/>
          <w:lang w:val="en-US" w:eastAsia="zh-CN"/>
        </w:rPr>
        <w:br/>
      </w:r>
    </w:p>
    <w:p>
      <w:pPr>
        <w:spacing w:after="0" w:line="280" w:lineRule="exact"/>
        <w:rPr>
          <w:rFonts w:ascii="Calibri" w:eastAsia="Times New Roman" w:hAnsi="Calibri" w:cs="Calibri"/>
          <w:lang w:val="en-US" w:eastAsia="zh-CN"/>
        </w:rPr>
      </w:pPr>
      <w:r>
        <w:rPr>
          <w:rFonts w:ascii="Calibri" w:eastAsia="Times New Roman" w:hAnsi="Calibri" w:cs="Calibri"/>
          <w:lang w:val="en-US" w:eastAsia="zh-CN"/>
        </w:rPr>
        <w:t>The alarm horn sounder DC voltage range is now extended from 10 to 60VDC, and the AC versions have a universal power supply accepting inputs from 100 to 240VAC. Higher voltage DC versions are available on request. The MA1 versions are factory set to a low current consumption of only 224mA at 24VDC with a sound output of 117dB(A). The MA2 versions feature two user selectable power modes that provide the optimum combinations of current consumption and sound output: 391mA and 126dB(A) to 888mA and 130dB(A).</w:t>
      </w:r>
      <w:r>
        <w:rPr>
          <w:rFonts w:ascii="Calibri" w:eastAsia="Times New Roman" w:hAnsi="Calibri" w:cs="Calibri"/>
          <w:lang w:val="en-US" w:eastAsia="zh-CN"/>
        </w:rPr>
        <w:br/>
      </w:r>
    </w:p>
    <w:p>
      <w:pPr>
        <w:spacing w:after="0" w:line="280" w:lineRule="exact"/>
        <w:rPr>
          <w:rFonts w:ascii="Calibri" w:eastAsia="Times New Roman" w:hAnsi="Calibri" w:cs="Calibri"/>
          <w:lang w:val="en-US" w:eastAsia="zh-CN"/>
        </w:rPr>
      </w:pPr>
      <w:r>
        <w:rPr>
          <w:rFonts w:ascii="Calibri" w:eastAsia="Times New Roman" w:hAnsi="Calibri" w:cs="Calibri"/>
          <w:lang w:val="en-US" w:eastAsia="zh-CN"/>
        </w:rPr>
        <w:t xml:space="preserve">A total of four remotely selectable alarm stages/channels are standard and can be activated by a variety of methods. A new set of 64 alarm tone frequencies can be independently set as either first or second stage. Pluggable, duplicated cable terminals simplify installation. </w:t>
      </w:r>
      <w:r>
        <w:rPr>
          <w:rFonts w:ascii="Calibri" w:eastAsia="Times New Roman" w:hAnsi="Calibri" w:cs="Calibri"/>
          <w:lang w:val="en-US" w:eastAsia="zh-CN"/>
        </w:rPr>
        <w:br/>
      </w:r>
    </w:p>
    <w:p>
      <w:pPr>
        <w:spacing w:after="0" w:line="280" w:lineRule="exact"/>
        <w:rPr>
          <w:rFonts w:ascii="Calibri" w:eastAsia="Times New Roman" w:hAnsi="Calibri" w:cs="Calibri"/>
          <w:lang w:val="en-US" w:eastAsia="zh-CN"/>
        </w:rPr>
      </w:pPr>
      <w:r>
        <w:rPr>
          <w:rFonts w:ascii="Calibri" w:eastAsia="Times New Roman" w:hAnsi="Calibri" w:cs="Calibri"/>
          <w:lang w:val="en-US" w:eastAsia="zh-CN"/>
        </w:rPr>
        <w:t xml:space="preserve">Combined audible/visual units also benefit from the next generation sounder electronics - the </w:t>
      </w:r>
      <w:hyperlink r:id="rId14" w:history="1">
        <w:r>
          <w:rPr>
            <w:rFonts w:ascii="Calibri" w:eastAsia="Times New Roman" w:hAnsi="Calibri" w:cs="Calibri"/>
            <w:color w:val="0000FF"/>
            <w:u w:val="single"/>
            <w:lang w:val="en-US" w:eastAsia="zh-CN"/>
          </w:rPr>
          <w:t>MC1X05</w:t>
        </w:r>
      </w:hyperlink>
      <w:r>
        <w:rPr>
          <w:rFonts w:ascii="Calibri" w:eastAsia="Times New Roman" w:hAnsi="Calibri" w:cs="Calibri"/>
          <w:lang w:val="en-US" w:eastAsia="zh-CN"/>
        </w:rPr>
        <w:t xml:space="preserve"> with Xenon strobe beacon and </w:t>
      </w:r>
      <w:hyperlink r:id="rId15" w:history="1">
        <w:r>
          <w:rPr>
            <w:rFonts w:ascii="Calibri" w:eastAsia="Times New Roman" w:hAnsi="Calibri" w:cs="Calibri"/>
            <w:color w:val="0000FF"/>
            <w:u w:val="single"/>
            <w:lang w:val="en-US" w:eastAsia="zh-CN"/>
          </w:rPr>
          <w:t>MC1LD2</w:t>
        </w:r>
      </w:hyperlink>
      <w:r>
        <w:rPr>
          <w:rFonts w:ascii="Calibri" w:eastAsia="Times New Roman" w:hAnsi="Calibri" w:cs="Calibri"/>
          <w:lang w:val="en-US" w:eastAsia="zh-CN"/>
        </w:rPr>
        <w:t xml:space="preserve"> with high output LED. </w:t>
      </w:r>
      <w:r>
        <w:rPr>
          <w:rFonts w:ascii="Calibri" w:eastAsia="Times New Roman" w:hAnsi="Calibri" w:cs="Calibri"/>
          <w:lang w:val="en-US" w:eastAsia="zh-CN"/>
        </w:rPr>
        <w:br/>
      </w:r>
    </w:p>
    <w:p>
      <w:pPr>
        <w:spacing w:after="0" w:line="280" w:lineRule="exact"/>
        <w:rPr>
          <w:rFonts w:ascii="Calibri" w:eastAsia="Times New Roman" w:hAnsi="Calibri" w:cs="Calibri"/>
          <w:lang w:val="en-US" w:eastAsia="zh-CN"/>
        </w:rPr>
      </w:pPr>
      <w:r>
        <w:rPr>
          <w:rFonts w:ascii="Calibri" w:eastAsia="Times New Roman" w:hAnsi="Calibri" w:cs="Calibri"/>
          <w:lang w:val="en-US" w:eastAsia="zh-CN"/>
        </w:rPr>
        <w:t>All units feature robust, thermoplastic fire-retardant enclosures with 316 (A4) stainless steel mounting brackets – ideal for applications in harsh environments where Type 4/4X/13/3R IP66/67 protection is required.</w:t>
      </w:r>
    </w:p>
    <w:p>
      <w:pPr>
        <w:spacing w:after="0" w:line="280" w:lineRule="exact"/>
        <w:rPr>
          <w:rFonts w:ascii="Calibri" w:eastAsia="Times New Roman" w:hAnsi="Calibri" w:cs="Calibri"/>
          <w:lang w:val="en-US" w:eastAsia="zh-CN"/>
        </w:rPr>
      </w:pPr>
    </w:p>
    <w:p>
      <w:pPr>
        <w:spacing w:after="0" w:line="280" w:lineRule="exact"/>
        <w:rPr>
          <w:rFonts w:ascii="Calibri" w:eastAsia="Times New Roman" w:hAnsi="Calibri" w:cs="Calibri"/>
          <w:lang w:val="en-US" w:eastAsia="zh-CN"/>
        </w:rPr>
      </w:pPr>
      <w:r>
        <w:rPr>
          <w:rFonts w:ascii="Calibri" w:eastAsia="Times New Roman" w:hAnsi="Calibri" w:cs="Calibri"/>
          <w:lang w:val="en-US" w:eastAsia="zh-CN"/>
        </w:rPr>
        <w:t>*** Ends: body copy 327 words ***</w:t>
      </w:r>
    </w:p>
    <w:p>
      <w:pPr>
        <w:tabs>
          <w:tab w:val="left" w:pos="851"/>
          <w:tab w:val="right" w:pos="9072"/>
        </w:tabs>
        <w:spacing w:after="0" w:line="240" w:lineRule="auto"/>
        <w:rPr>
          <w:lang w:val="en-US"/>
        </w:rPr>
      </w:pPr>
    </w:p>
    <w:p>
      <w:pPr>
        <w:spacing w:after="0" w:line="240" w:lineRule="auto"/>
        <w:rPr>
          <w:rFonts w:cstheme="minorHAnsi"/>
          <w:b/>
          <w:lang w:val="en-US"/>
        </w:rPr>
      </w:pPr>
      <w:r>
        <w:rPr>
          <w:rFonts w:cstheme="minorHAnsi"/>
          <w:b/>
          <w:lang w:val="en-US"/>
        </w:rPr>
        <w:br w:type="page"/>
      </w:r>
    </w:p>
    <w:p>
      <w:pPr>
        <w:spacing w:after="0" w:line="240" w:lineRule="auto"/>
        <w:rPr>
          <w:rFonts w:cstheme="minorHAnsi"/>
          <w:b/>
          <w:lang w:val="en-US"/>
        </w:rPr>
      </w:pPr>
      <w:r>
        <w:rPr>
          <w:rFonts w:cstheme="minorHAnsi"/>
          <w:b/>
          <w:lang w:val="en-US"/>
        </w:rPr>
        <w:lastRenderedPageBreak/>
        <w:t>Notes to Editors.</w:t>
      </w:r>
    </w:p>
    <w:p>
      <w:pPr>
        <w:spacing w:after="0" w:line="240" w:lineRule="auto"/>
        <w:rPr>
          <w:rFonts w:cstheme="minorHAnsi"/>
          <w:lang w:val="en-US"/>
        </w:rPr>
      </w:pPr>
    </w:p>
    <w:p>
      <w:pPr>
        <w:spacing w:after="0" w:line="240" w:lineRule="auto"/>
        <w:rPr>
          <w:rFonts w:cstheme="minorHAnsi"/>
          <w:lang w:val="en-US"/>
        </w:rPr>
      </w:pPr>
      <w:r>
        <w:rPr>
          <w:rFonts w:cstheme="minorHAnsi"/>
          <w:lang w:val="en-US"/>
        </w:rPr>
        <w:t>For all follow-up enquiries, please contact:</w:t>
      </w:r>
      <w:r>
        <w:rPr>
          <w:rFonts w:cstheme="minorHAnsi"/>
          <w:lang w:val="en-US"/>
        </w:rPr>
        <w:tab/>
      </w:r>
    </w:p>
    <w:p>
      <w:pPr>
        <w:spacing w:after="0" w:line="240" w:lineRule="auto"/>
        <w:rPr>
          <w:rFonts w:cstheme="minorHAnsi"/>
          <w:lang w:val="en-US"/>
        </w:rPr>
      </w:pPr>
    </w:p>
    <w:p>
      <w:pPr>
        <w:spacing w:after="0" w:line="240" w:lineRule="auto"/>
        <w:rPr>
          <w:rFonts w:cstheme="minorHAnsi"/>
          <w:lang w:val="en-US"/>
        </w:rPr>
      </w:pPr>
      <w:r>
        <w:rPr>
          <w:rFonts w:cstheme="minorHAnsi"/>
          <w:lang w:val="en-US"/>
        </w:rPr>
        <w:t>Nigel May</w:t>
      </w:r>
      <w:r>
        <w:rPr>
          <w:rFonts w:cstheme="minorHAnsi"/>
          <w:lang w:val="en-US"/>
        </w:rPr>
        <w:tab/>
      </w:r>
    </w:p>
    <w:p>
      <w:pPr>
        <w:spacing w:after="0" w:line="240" w:lineRule="auto"/>
        <w:rPr>
          <w:rFonts w:cstheme="minorHAnsi"/>
          <w:lang w:val="en-US"/>
        </w:rPr>
      </w:pPr>
      <w:r>
        <w:rPr>
          <w:rFonts w:cstheme="minorHAnsi"/>
          <w:lang w:val="en-US"/>
        </w:rPr>
        <w:t>Parkfield Communications Limited</w:t>
      </w:r>
    </w:p>
    <w:p>
      <w:pPr>
        <w:spacing w:after="0" w:line="240" w:lineRule="auto"/>
        <w:rPr>
          <w:rFonts w:cstheme="minorHAnsi"/>
          <w:lang w:val="en-US"/>
        </w:rPr>
      </w:pPr>
      <w:r>
        <w:rPr>
          <w:rFonts w:cstheme="minorHAnsi"/>
          <w:lang w:val="en-US"/>
        </w:rPr>
        <w:t>Parkfield House</w:t>
      </w:r>
    </w:p>
    <w:p>
      <w:pPr>
        <w:spacing w:after="0" w:line="240" w:lineRule="auto"/>
        <w:rPr>
          <w:rFonts w:cstheme="minorHAnsi"/>
          <w:lang w:val="en-US"/>
        </w:rPr>
      </w:pPr>
      <w:r>
        <w:rPr>
          <w:rFonts w:cstheme="minorHAnsi"/>
          <w:lang w:val="en-US"/>
        </w:rPr>
        <w:t>Damerham</w:t>
      </w:r>
    </w:p>
    <w:p>
      <w:pPr>
        <w:spacing w:after="0" w:line="240" w:lineRule="auto"/>
        <w:rPr>
          <w:rFonts w:cstheme="minorHAnsi"/>
          <w:lang w:val="en-US"/>
        </w:rPr>
      </w:pPr>
      <w:r>
        <w:rPr>
          <w:rFonts w:cstheme="minorHAnsi"/>
          <w:lang w:val="en-US"/>
        </w:rPr>
        <w:t>SP6 3HQ</w:t>
      </w:r>
    </w:p>
    <w:p>
      <w:pPr>
        <w:spacing w:after="0" w:line="240" w:lineRule="auto"/>
        <w:rPr>
          <w:rFonts w:cstheme="minorHAnsi"/>
          <w:lang w:val="en-US"/>
        </w:rPr>
      </w:pPr>
      <w:r>
        <w:rPr>
          <w:rFonts w:cstheme="minorHAnsi"/>
          <w:lang w:val="en-US"/>
        </w:rPr>
        <w:t>Great Britain</w:t>
      </w:r>
    </w:p>
    <w:p>
      <w:pPr>
        <w:spacing w:after="0" w:line="240" w:lineRule="auto"/>
        <w:rPr>
          <w:rFonts w:cstheme="minorHAnsi"/>
          <w:lang w:val="en-US"/>
        </w:rPr>
      </w:pPr>
      <w:r>
        <w:rPr>
          <w:rFonts w:cstheme="minorHAnsi"/>
          <w:lang w:val="en-US"/>
        </w:rPr>
        <w:t>Tel: + 44 (0)1725 518321</w:t>
      </w:r>
    </w:p>
    <w:p>
      <w:pPr>
        <w:spacing w:after="0" w:line="240" w:lineRule="auto"/>
        <w:rPr>
          <w:rFonts w:cstheme="minorHAnsi"/>
          <w:lang w:val="en-US"/>
        </w:rPr>
      </w:pPr>
      <w:hyperlink r:id="rId16" w:history="1">
        <w:r>
          <w:rPr>
            <w:rStyle w:val="Hyperlink"/>
            <w:rFonts w:cstheme="minorHAnsi"/>
            <w:lang w:val="en-US"/>
          </w:rPr>
          <w:t>nigel.may@parkfield.co.uk</w:t>
        </w:r>
      </w:hyperlink>
      <w:r>
        <w:rPr>
          <w:rFonts w:cstheme="minorHAnsi"/>
          <w:lang w:val="en-US"/>
        </w:rPr>
        <w:t xml:space="preserve"> </w:t>
      </w:r>
    </w:p>
    <w:p>
      <w:pPr>
        <w:spacing w:after="0" w:line="240" w:lineRule="auto"/>
        <w:rPr>
          <w:rFonts w:cstheme="minorHAnsi"/>
          <w:lang w:val="en-US"/>
        </w:rPr>
      </w:pPr>
      <w:hyperlink r:id="rId17" w:history="1">
        <w:r>
          <w:rPr>
            <w:rStyle w:val="Hyperlink"/>
            <w:rFonts w:cstheme="minorHAnsi"/>
            <w:lang w:val="en-US"/>
          </w:rPr>
          <w:t>parkfield.co.uk</w:t>
        </w:r>
      </w:hyperlink>
      <w:r>
        <w:rPr>
          <w:rFonts w:cstheme="minorHAnsi"/>
          <w:lang w:val="en-US"/>
        </w:rPr>
        <w:br/>
      </w:r>
    </w:p>
    <w:p>
      <w:pPr>
        <w:spacing w:after="0" w:line="240" w:lineRule="auto"/>
        <w:rPr>
          <w:rFonts w:cstheme="minorHAnsi"/>
          <w:lang w:val="en-US"/>
        </w:rPr>
      </w:pPr>
      <w:r>
        <w:rPr>
          <w:rFonts w:cstheme="minorHAnsi"/>
          <w:lang w:val="en-US"/>
        </w:rPr>
        <w:t xml:space="preserve">E2S is the world’s leading independent signaling manufacturer. Based in West London, England the company designs and manufactures a comprehensive range of signaling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pStyle w:val="BodyTextIndent"/>
        <w:ind w:firstLine="0"/>
        <w:jc w:val="left"/>
        <w:rPr>
          <w:rFonts w:asciiTheme="minorHAnsi" w:hAnsiTheme="minorHAnsi" w:cstheme="minorHAnsi"/>
          <w:sz w:val="22"/>
          <w:szCs w:val="22"/>
          <w:lang w:val="en-US"/>
        </w:rPr>
      </w:pP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E2S Warning Signals</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17633 Telge Road</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Cypress, Houston</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TX 77086</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United States of America</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Tel: + 1 281-377-4401</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Fax: + 1 281-440-4040</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Mail: </w:t>
      </w:r>
      <w:hyperlink r:id="rId18" w:history="1">
        <w:r>
          <w:rPr>
            <w:rStyle w:val="Hyperlink"/>
            <w:rFonts w:asciiTheme="minorHAnsi" w:hAnsiTheme="minorHAnsi" w:cstheme="minorHAnsi"/>
            <w:sz w:val="22"/>
            <w:szCs w:val="22"/>
            <w:lang w:val="en-US"/>
          </w:rPr>
          <w:t>sales@e2s.com</w:t>
        </w:r>
      </w:hyperlink>
      <w:r>
        <w:rPr>
          <w:rFonts w:asciiTheme="minorHAnsi" w:hAnsiTheme="minorHAnsi" w:cstheme="minorHAnsi"/>
          <w:sz w:val="22"/>
          <w:szCs w:val="22"/>
          <w:lang w:val="en-US"/>
        </w:rPr>
        <w:t xml:space="preserve"> </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Web: </w:t>
      </w:r>
      <w:hyperlink r:id="rId19" w:history="1">
        <w:r>
          <w:rPr>
            <w:rStyle w:val="Hyperlink"/>
            <w:rFonts w:asciiTheme="minorHAnsi" w:hAnsiTheme="minorHAnsi" w:cstheme="minorHAnsi"/>
            <w:sz w:val="22"/>
            <w:szCs w:val="22"/>
            <w:lang w:val="en-US"/>
          </w:rPr>
          <w:t>www.e2s.com</w:t>
        </w:r>
      </w:hyperlink>
      <w:r>
        <w:rPr>
          <w:rFonts w:asciiTheme="minorHAnsi" w:hAnsiTheme="minorHAnsi" w:cstheme="minorHAnsi"/>
          <w:sz w:val="22"/>
          <w:szCs w:val="22"/>
          <w:lang w:val="en-US"/>
        </w:rPr>
        <w:t xml:space="preserve"> </w:t>
      </w:r>
    </w:p>
    <w:p>
      <w:pPr>
        <w:tabs>
          <w:tab w:val="left" w:pos="851"/>
          <w:tab w:val="right" w:pos="9072"/>
        </w:tabs>
        <w:spacing w:after="0" w:line="240" w:lineRule="auto"/>
        <w:rPr>
          <w:lang w:val="en-US"/>
        </w:rPr>
      </w:pPr>
    </w:p>
    <w:sectPr>
      <w:pgSz w:w="11906" w:h="16838"/>
      <w:pgMar w:top="1418" w:right="1418" w:bottom="1418"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25190-60ED-43E7-AB24-5C50D8A5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Indent">
    <w:name w:val="Body Text Indent"/>
    <w:basedOn w:val="Normal"/>
    <w:link w:val="BodyTextIndentChar"/>
    <w:pPr>
      <w:widowControl w:val="0"/>
      <w:spacing w:after="0" w:line="240" w:lineRule="auto"/>
      <w:ind w:firstLine="567"/>
      <w:jc w:val="both"/>
    </w:pPr>
    <w:rPr>
      <w:rFonts w:ascii="Swis721 BT" w:eastAsia="Times New Roman" w:hAnsi="Swis721 BT" w:cs="Times New Roman"/>
      <w:snapToGrid w:val="0"/>
      <w:sz w:val="20"/>
      <w:szCs w:val="20"/>
    </w:rPr>
  </w:style>
  <w:style w:type="character" w:customStyle="1" w:styleId="BodyTextIndentChar">
    <w:name w:val="Body Text Indent Char"/>
    <w:basedOn w:val="DefaultParagraphFont"/>
    <w:link w:val="BodyTextIndent"/>
    <w:rPr>
      <w:rFonts w:ascii="Swis721 BT" w:eastAsia="Times New Roman" w:hAnsi="Swis721 BT"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2s.com/product/13450" TargetMode="External"/><Relationship Id="rId13" Type="http://schemas.openxmlformats.org/officeDocument/2006/relationships/hyperlink" Target="https://www.e2s.com/product/13453" TargetMode="External"/><Relationship Id="rId18" Type="http://schemas.openxmlformats.org/officeDocument/2006/relationships/hyperlink" Target="mailto:sales@e2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arkfield.co.uk/e2s-usa/" TargetMode="External"/><Relationship Id="rId12" Type="http://schemas.openxmlformats.org/officeDocument/2006/relationships/hyperlink" Target="https://www.e2s.com/product/13453" TargetMode="External"/><Relationship Id="rId17" Type="http://schemas.openxmlformats.org/officeDocument/2006/relationships/hyperlink" Target="http://www.parkfield.co.uk" TargetMode="External"/><Relationship Id="rId2" Type="http://schemas.openxmlformats.org/officeDocument/2006/relationships/styles" Target="styles.xml"/><Relationship Id="rId16" Type="http://schemas.openxmlformats.org/officeDocument/2006/relationships/hyperlink" Target="mailto:nigel.may@parkfield.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parkfield.co.uk/e2s-usa/m-series-upgrade.docx" TargetMode="External"/><Relationship Id="rId11" Type="http://schemas.openxmlformats.org/officeDocument/2006/relationships/hyperlink" Target="https://www.e2s.com/product/13452" TargetMode="External"/><Relationship Id="rId5" Type="http://schemas.openxmlformats.org/officeDocument/2006/relationships/hyperlink" Target="https://www.parkfield.co.uk/e2s-usa/m-series-upgrade-print.jpg" TargetMode="External"/><Relationship Id="rId15" Type="http://schemas.openxmlformats.org/officeDocument/2006/relationships/hyperlink" Target="https://www.e2s.com/product/13383" TargetMode="External"/><Relationship Id="rId10" Type="http://schemas.openxmlformats.org/officeDocument/2006/relationships/hyperlink" Target="https://www.e2s.com/product/13450" TargetMode="External"/><Relationship Id="rId19" Type="http://schemas.openxmlformats.org/officeDocument/2006/relationships/hyperlink" Target="http://www.e2s.com" TargetMode="External"/><Relationship Id="rId4" Type="http://schemas.openxmlformats.org/officeDocument/2006/relationships/webSettings" Target="webSettings.xml"/><Relationship Id="rId9" Type="http://schemas.openxmlformats.org/officeDocument/2006/relationships/hyperlink" Target="https://www.e2s.com/product/13451" TargetMode="External"/><Relationship Id="rId14" Type="http://schemas.openxmlformats.org/officeDocument/2006/relationships/hyperlink" Target="https://www.e2s.com/product/13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2888-CBDA-4C67-9438-88F87A25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3</cp:revision>
  <cp:lastPrinted>2013-11-08T14:21:00Z</cp:lastPrinted>
  <dcterms:created xsi:type="dcterms:W3CDTF">2021-04-19T13:21:00Z</dcterms:created>
  <dcterms:modified xsi:type="dcterms:W3CDTF">2021-04-19T13:21:00Z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