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rPr>
          <w:rFonts w:cs="Arial"/>
          <w:color w:val="C00000"/>
          <w:sz w:val="51"/>
          <w:szCs w:val="61"/>
          <w:lang w:val="en-US"/>
        </w:rPr>
      </w:pPr>
      <w:r>
        <w:rPr>
          <w:rFonts w:cs="Arial"/>
          <w:color w:val="C00000"/>
          <w:sz w:val="50"/>
          <w:szCs w:val="50"/>
          <w:lang w:val="en-US"/>
        </w:rPr>
        <w:t>PRESS RELEASE</w:t>
      </w:r>
    </w:p>
    <w:p>
      <w:pPr>
        <w:pStyle w:val="Title"/>
        <w:pBdr>
          <w:top w:val="nil"/>
          <w:left w:val="nil"/>
          <w:bottom w:val="nil"/>
          <w:right w:val="nil"/>
        </w:pBdr>
        <w:jc w:val="left"/>
        <w:rPr>
          <w:rFonts w:asciiTheme="minorHAnsi" w:hAnsiTheme="minorHAnsi"/>
          <w:bCs w:val="0"/>
          <w:szCs w:val="22"/>
          <w:lang w:val="en-US"/>
        </w:rPr>
      </w:pPr>
      <w:r>
        <w:rPr>
          <w:rFonts w:asciiTheme="minorHAnsi" w:hAnsiTheme="minorHAnsi"/>
          <w:bCs w:val="0"/>
          <w:szCs w:val="22"/>
          <w:lang w:val="en-US"/>
        </w:rPr>
        <w:t>Released May 18, 2022</w:t>
      </w:r>
    </w:p>
    <w:p>
      <w:pPr>
        <w:pStyle w:val="Title"/>
        <w:pBdr>
          <w:top w:val="nil"/>
          <w:left w:val="nil"/>
          <w:bottom w:val="nil"/>
          <w:right w:val="nil"/>
        </w:pBdr>
        <w:jc w:val="left"/>
        <w:rPr>
          <w:rFonts w:asciiTheme="minorHAnsi" w:hAnsiTheme="minorHAnsi"/>
          <w:b w:val="0"/>
          <w:szCs w:val="22"/>
          <w:lang w:val="en-US"/>
        </w:rPr>
      </w:pPr>
    </w:p>
    <w:p>
      <w:pPr>
        <w:pStyle w:val="Title"/>
        <w:pBdr>
          <w:top w:val="nil"/>
          <w:left w:val="nil"/>
          <w:bottom w:val="nil"/>
          <w:right w:val="nil"/>
        </w:pBdr>
        <w:jc w:val="left"/>
        <w:rPr>
          <w:lang w:val="en-US"/>
        </w:rPr>
      </w:pPr>
      <w:r>
        <w:rPr>
          <w:rFonts w:asciiTheme="minorHAnsi" w:hAnsiTheme="minorHAnsi"/>
          <w:b w:val="0"/>
          <w:szCs w:val="22"/>
          <w:lang w:val="en-US"/>
        </w:rPr>
        <w:t xml:space="preserve">To download </w:t>
      </w:r>
      <w:r>
        <w:rPr>
          <w:rFonts w:asciiTheme="minorHAnsi" w:hAnsiTheme="minorHAnsi"/>
          <w:b w:val="0"/>
          <w:bCs w:val="0"/>
          <w:szCs w:val="22"/>
          <w:lang w:val="en-US"/>
        </w:rPr>
        <w:t xml:space="preserve">a 300dpi print quality image, go to </w:t>
      </w:r>
      <w:hyperlink r:id="rId6" w:history="1">
        <w:r>
          <w:rPr>
            <w:rStyle w:val="Hyperlink"/>
            <w:rFonts w:asciiTheme="minorHAnsi" w:hAnsiTheme="minorHAnsi"/>
            <w:b w:val="0"/>
            <w:bCs w:val="0"/>
            <w:szCs w:val="22"/>
            <w:lang w:val="en-US"/>
          </w:rPr>
          <w:t>parkfield.co.uk/e2s-usa/nfpa22-d1x-print.jpg</w:t>
        </w:r>
      </w:hyperlink>
    </w:p>
    <w:p>
      <w:pPr>
        <w:tabs>
          <w:tab w:val="left" w:pos="851"/>
          <w:tab w:val="right" w:pos="9072"/>
        </w:tabs>
        <w:rPr>
          <w:lang w:val="en-US"/>
        </w:rPr>
      </w:pPr>
    </w:p>
    <w:p>
      <w:pPr>
        <w:tabs>
          <w:tab w:val="left" w:pos="851"/>
          <w:tab w:val="right" w:pos="9072"/>
        </w:tabs>
        <w:rPr>
          <w:lang w:val="en-US"/>
        </w:rPr>
      </w:pPr>
      <w:r>
        <w:rPr>
          <w:lang w:val="en-US"/>
        </w:rPr>
        <w:t xml:space="preserve">To download a Word file of the text, go to </w:t>
      </w:r>
      <w:hyperlink r:id="rId7" w:history="1">
        <w:r>
          <w:rPr>
            <w:rStyle w:val="Hyperlink"/>
            <w:lang w:val="en-US"/>
          </w:rPr>
          <w:t>parkfield.co.uk/e2s-usa/nfpa22.docx</w:t>
        </w:r>
      </w:hyperlink>
    </w:p>
    <w:p>
      <w:pPr>
        <w:tabs>
          <w:tab w:val="left" w:pos="851"/>
          <w:tab w:val="right" w:pos="9072"/>
        </w:tabs>
        <w:rPr>
          <w:lang w:val="en-US"/>
        </w:rPr>
      </w:pPr>
    </w:p>
    <w:p>
      <w:pPr>
        <w:tabs>
          <w:tab w:val="left" w:pos="851"/>
          <w:tab w:val="right" w:pos="9072"/>
        </w:tabs>
        <w:rPr>
          <w:lang w:val="en-US"/>
        </w:rPr>
      </w:pPr>
      <w:r>
        <w:rPr>
          <w:lang w:val="en-US"/>
        </w:rPr>
        <w:t xml:space="preserve">To view all E2S press information, go to </w:t>
      </w:r>
      <w:hyperlink r:id="rId8" w:history="1">
        <w:r>
          <w:rPr>
            <w:rStyle w:val="Hyperlink"/>
            <w:bCs/>
            <w:lang w:val="en-US"/>
          </w:rPr>
          <w:t>parkfield.co.uk/e2s-usa/</w:t>
        </w:r>
      </w:hyperlink>
      <w:r>
        <w:rPr>
          <w:lang w:val="en-US"/>
        </w:rPr>
        <w:br/>
      </w:r>
      <w:r>
        <w:rPr>
          <w:lang w:val="en-US"/>
        </w:rPr>
        <w:br/>
      </w:r>
      <w:r>
        <w:rPr>
          <w:b/>
          <w:lang w:val="en-US"/>
        </w:rPr>
        <w:t>E2S majors on UL464 and UL1638 approved warning signals at NFPA 2022</w:t>
      </w:r>
    </w:p>
    <w:p>
      <w:pPr>
        <w:tabs>
          <w:tab w:val="left" w:pos="851"/>
          <w:tab w:val="right" w:pos="9072"/>
        </w:tabs>
        <w:jc w:val="center"/>
        <w:rPr>
          <w:b/>
          <w:lang w:val="en-US"/>
        </w:rPr>
      </w:pPr>
    </w:p>
    <w:p>
      <w:pPr>
        <w:tabs>
          <w:tab w:val="left" w:pos="851"/>
          <w:tab w:val="right" w:pos="9072"/>
        </w:tabs>
        <w:rPr>
          <w:bCs/>
          <w:lang w:val="en-US"/>
        </w:rPr>
      </w:pPr>
      <w:r>
        <w:rPr>
          <w:bCs/>
          <w:lang w:val="en-US"/>
        </w:rPr>
        <w:t>On Booth 543, E2S will be exhibiting their new UL464 and UL1638 approved warning signals for use in fire and gas detection systems suitable for hazardous areas, industrial, marine and harsh environments.</w:t>
      </w:r>
    </w:p>
    <w:p>
      <w:pPr>
        <w:tabs>
          <w:tab w:val="left" w:pos="851"/>
          <w:tab w:val="right" w:pos="9072"/>
        </w:tabs>
        <w:rPr>
          <w:bCs/>
          <w:lang w:val="en-US"/>
        </w:rPr>
      </w:pPr>
    </w:p>
    <w:p>
      <w:pPr>
        <w:tabs>
          <w:tab w:val="left" w:pos="851"/>
          <w:tab w:val="right" w:pos="9072"/>
        </w:tabs>
        <w:rPr>
          <w:bCs/>
          <w:lang w:val="en-US"/>
        </w:rPr>
      </w:pPr>
      <w:r>
        <w:rPr>
          <w:bCs/>
          <w:lang w:val="en-US"/>
        </w:rPr>
        <w:t xml:space="preserve">The </w:t>
      </w:r>
      <w:hyperlink r:id="rId9" w:history="1">
        <w:r>
          <w:rPr>
            <w:rStyle w:val="Hyperlink"/>
            <w:bCs/>
            <w:lang w:val="en-US"/>
          </w:rPr>
          <w:t>D1xS2H</w:t>
        </w:r>
      </w:hyperlink>
      <w:r>
        <w:rPr>
          <w:bCs/>
          <w:lang w:val="en-US"/>
        </w:rPr>
        <w:t xml:space="preserve"> is housed in a Type 4/4X, IP66 marine grade, corrosion proof aluminum enclosure. Featuring sound output levels up to 127 dB(A) and 64 alarm tones, each of the 4 stage/channels can be remotely activated. Auto-synchronized on multi-alarm horn systems, the Class D amplification provides the highest sound pressure level available for Class I Division 1 notification with a choice of two power modes. The threaded flameproof joint, multiple cable entries and duplicated, pluggable termination simplifies both installation and routine maintenance. The 24Vdc version is approved to UL464 for public mode fire alarm use and the 100-240Vac version for general signaling use. They are SIL1 compliant to IEC 61508 (2010). The D1xS2H also carries global approvals: UL, cUL and ULC for Class I Div 1, Zone 1, IECEx and ATEX Zone 1, 2, 21 and 22 for use in hazardous area explosion proof signaling applications.</w:t>
      </w:r>
    </w:p>
    <w:p>
      <w:pPr>
        <w:tabs>
          <w:tab w:val="left" w:pos="851"/>
          <w:tab w:val="right" w:pos="9072"/>
        </w:tabs>
        <w:rPr>
          <w:bCs/>
          <w:lang w:val="en-US"/>
        </w:rPr>
      </w:pPr>
    </w:p>
    <w:p>
      <w:pPr>
        <w:tabs>
          <w:tab w:val="left" w:pos="851"/>
          <w:tab w:val="right" w:pos="9072"/>
        </w:tabs>
        <w:rPr>
          <w:bCs/>
          <w:lang w:val="en-US"/>
        </w:rPr>
      </w:pPr>
      <w:r>
        <w:rPr>
          <w:bCs/>
          <w:lang w:val="en-US"/>
        </w:rPr>
        <w:t xml:space="preserve">The </w:t>
      </w:r>
      <w:hyperlink r:id="rId10" w:history="1">
        <w:r>
          <w:rPr>
            <w:rStyle w:val="Hyperlink"/>
            <w:bCs/>
            <w:lang w:val="en-US"/>
          </w:rPr>
          <w:t>AlertAlarm horn sounder</w:t>
        </w:r>
      </w:hyperlink>
      <w:r>
        <w:rPr>
          <w:bCs/>
          <w:lang w:val="en-US"/>
        </w:rPr>
        <w:t xml:space="preserve"> range is globally approved for fire, marine and general signaling applications. Featuring 64 alarm tone frequencies and 4 remotely activated stages/channels, it is approved to UL464 and EN54-3. The associated combined audible and visual signals from the </w:t>
      </w:r>
      <w:hyperlink r:id="rId11" w:history="1">
        <w:r>
          <w:rPr>
            <w:rStyle w:val="Hyperlink"/>
            <w:bCs/>
            <w:lang w:val="en-US"/>
          </w:rPr>
          <w:t>AlertAlight range</w:t>
        </w:r>
      </w:hyperlink>
      <w:r>
        <w:rPr>
          <w:bCs/>
          <w:lang w:val="en-US"/>
        </w:rPr>
        <w:t xml:space="preserve"> are approved to UL464, UL1638, EN54-3 and EN54-23. The AlertAlarm and AlertAlight family are available in four physical sizes with outputs from 110 to 124dB(A). Their flame-retardant ABS and PC enclosures are lightweight and impact resistant. Low current consumption and high SPL in an outdoor rated enclosure ensure suitability for all applications including fire, security and process control. The AlertAlight beacons are available with Xenon or LED light sources.</w:t>
      </w:r>
    </w:p>
    <w:p>
      <w:pPr>
        <w:tabs>
          <w:tab w:val="left" w:pos="851"/>
          <w:tab w:val="right" w:pos="9072"/>
        </w:tabs>
        <w:rPr>
          <w:bCs/>
          <w:lang w:val="en-US"/>
        </w:rPr>
      </w:pPr>
    </w:p>
    <w:p>
      <w:pPr>
        <w:tabs>
          <w:tab w:val="left" w:pos="851"/>
          <w:tab w:val="right" w:pos="9072"/>
        </w:tabs>
        <w:rPr>
          <w:bCs/>
          <w:lang w:val="en-US"/>
        </w:rPr>
      </w:pPr>
      <w:r>
        <w:rPr>
          <w:bCs/>
          <w:lang w:val="en-US"/>
        </w:rPr>
        <w:t xml:space="preserve">Details of the conference and exhibition can be found at: </w:t>
      </w:r>
      <w:hyperlink r:id="rId12" w:history="1">
        <w:r>
          <w:rPr>
            <w:rStyle w:val="Hyperlink"/>
            <w:bCs/>
            <w:lang w:val="en-US"/>
          </w:rPr>
          <w:t>www.nfpa.org/conference</w:t>
        </w:r>
      </w:hyperlink>
    </w:p>
    <w:p>
      <w:pPr>
        <w:tabs>
          <w:tab w:val="left" w:pos="851"/>
          <w:tab w:val="right" w:pos="9072"/>
        </w:tabs>
        <w:rPr>
          <w:bCs/>
          <w:lang w:val="en-US"/>
        </w:rPr>
      </w:pPr>
    </w:p>
    <w:p>
      <w:pPr>
        <w:tabs>
          <w:tab w:val="left" w:pos="851"/>
          <w:tab w:val="right" w:pos="9072"/>
        </w:tabs>
        <w:rPr>
          <w:bCs/>
          <w:lang w:val="en-US"/>
        </w:rPr>
      </w:pPr>
      <w:r>
        <w:rPr>
          <w:bCs/>
          <w:lang w:val="en-US"/>
        </w:rPr>
        <w:t>*** Ends: body copy 302 words ***</w:t>
      </w:r>
    </w:p>
    <w:p>
      <w:pPr>
        <w:tabs>
          <w:tab w:val="left" w:pos="851"/>
          <w:tab w:val="right" w:pos="9072"/>
        </w:tabs>
        <w:rPr>
          <w:bCs/>
          <w:lang w:val="en-US"/>
        </w:rPr>
      </w:pPr>
    </w:p>
    <w:p>
      <w:pPr>
        <w:widowControl/>
        <w:rPr>
          <w:rFonts w:asciiTheme="minorHAnsi" w:hAnsiTheme="minorHAnsi" w:cstheme="minorHAnsi"/>
          <w:b/>
          <w:szCs w:val="22"/>
          <w:lang w:val="en-US"/>
        </w:rPr>
      </w:pPr>
      <w:r>
        <w:rPr>
          <w:rFonts w:asciiTheme="minorHAnsi" w:hAnsiTheme="minorHAnsi" w:cstheme="minorHAnsi"/>
          <w:b/>
          <w:szCs w:val="22"/>
          <w:lang w:val="en-US"/>
        </w:rPr>
        <w:br w:type="page"/>
      </w:r>
    </w:p>
    <w:p>
      <w:pPr>
        <w:spacing w:line="240" w:lineRule="exact"/>
        <w:rPr>
          <w:rFonts w:asciiTheme="minorHAnsi" w:hAnsiTheme="minorHAnsi" w:cstheme="minorHAnsi"/>
          <w:b/>
          <w:szCs w:val="22"/>
          <w:lang w:val="en-US"/>
        </w:rPr>
      </w:pPr>
      <w:r>
        <w:rPr>
          <w:rFonts w:asciiTheme="minorHAnsi" w:hAnsiTheme="minorHAnsi" w:cstheme="minorHAnsi"/>
          <w:b/>
          <w:szCs w:val="22"/>
          <w:lang w:val="en-US"/>
        </w:rPr>
        <w:lastRenderedPageBreak/>
        <w:t>Notes to Editors.</w:t>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For all follow-up enquiries, please contact:</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p>
    <w:p>
      <w:pPr>
        <w:spacing w:line="240" w:lineRule="exact"/>
        <w:rPr>
          <w:rFonts w:asciiTheme="minorHAnsi" w:hAnsiTheme="minorHAnsi" w:cstheme="minorHAnsi"/>
          <w:szCs w:val="22"/>
          <w:lang w:val="en-US"/>
        </w:rPr>
      </w:pPr>
      <w:r>
        <w:rPr>
          <w:rFonts w:asciiTheme="minorHAnsi" w:hAnsiTheme="minorHAnsi" w:cstheme="minorHAnsi"/>
          <w:szCs w:val="22"/>
          <w:lang w:val="en-US"/>
        </w:rPr>
        <w:t>Nigel May</w:t>
      </w:r>
      <w:r>
        <w:rPr>
          <w:rFonts w:asciiTheme="minorHAnsi" w:hAnsiTheme="minorHAnsi" w:cstheme="minorHAnsi"/>
          <w:szCs w:val="22"/>
          <w:lang w:val="en-US"/>
        </w:rPr>
        <w:tab/>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Communications Limited</w:t>
      </w:r>
    </w:p>
    <w:p>
      <w:pPr>
        <w:spacing w:line="240" w:lineRule="exact"/>
        <w:rPr>
          <w:rFonts w:asciiTheme="minorHAnsi" w:hAnsiTheme="minorHAnsi" w:cstheme="minorHAnsi"/>
          <w:szCs w:val="22"/>
          <w:lang w:val="en-US"/>
        </w:rPr>
      </w:pPr>
      <w:r>
        <w:rPr>
          <w:rFonts w:asciiTheme="minorHAnsi" w:hAnsiTheme="minorHAnsi" w:cstheme="minorHAnsi"/>
          <w:szCs w:val="22"/>
          <w:lang w:val="en-US"/>
        </w:rPr>
        <w:t>Parkfield House</w:t>
      </w:r>
    </w:p>
    <w:p>
      <w:pPr>
        <w:spacing w:line="240" w:lineRule="exact"/>
        <w:rPr>
          <w:rFonts w:asciiTheme="minorHAnsi" w:hAnsiTheme="minorHAnsi" w:cstheme="minorHAnsi"/>
          <w:szCs w:val="22"/>
          <w:lang w:val="en-US"/>
        </w:rPr>
      </w:pPr>
      <w:r>
        <w:rPr>
          <w:rFonts w:asciiTheme="minorHAnsi" w:hAnsiTheme="minorHAnsi" w:cstheme="minorHAnsi"/>
          <w:szCs w:val="22"/>
          <w:lang w:val="en-US"/>
        </w:rPr>
        <w:t>Damerham</w:t>
      </w:r>
    </w:p>
    <w:p>
      <w:pPr>
        <w:spacing w:line="240" w:lineRule="exact"/>
        <w:rPr>
          <w:rFonts w:asciiTheme="minorHAnsi" w:hAnsiTheme="minorHAnsi" w:cstheme="minorHAnsi"/>
          <w:szCs w:val="22"/>
          <w:lang w:val="en-US"/>
        </w:rPr>
      </w:pPr>
      <w:r>
        <w:rPr>
          <w:rFonts w:asciiTheme="minorHAnsi" w:hAnsiTheme="minorHAnsi" w:cstheme="minorHAnsi"/>
          <w:szCs w:val="22"/>
          <w:lang w:val="en-US"/>
        </w:rPr>
        <w:t>SP6 3HQ</w:t>
      </w:r>
    </w:p>
    <w:p>
      <w:pPr>
        <w:spacing w:line="240" w:lineRule="exact"/>
        <w:rPr>
          <w:rFonts w:asciiTheme="minorHAnsi" w:hAnsiTheme="minorHAnsi" w:cstheme="minorHAnsi"/>
          <w:szCs w:val="22"/>
          <w:lang w:val="en-US"/>
        </w:rPr>
      </w:pPr>
      <w:r>
        <w:rPr>
          <w:rFonts w:asciiTheme="minorHAnsi" w:hAnsiTheme="minorHAnsi" w:cstheme="minorHAnsi"/>
          <w:szCs w:val="22"/>
          <w:lang w:val="en-US"/>
        </w:rPr>
        <w:t>Great Britain</w:t>
      </w:r>
    </w:p>
    <w:p>
      <w:pPr>
        <w:spacing w:line="240" w:lineRule="exact"/>
        <w:rPr>
          <w:rFonts w:asciiTheme="minorHAnsi" w:hAnsiTheme="minorHAnsi" w:cstheme="minorHAnsi"/>
          <w:szCs w:val="22"/>
          <w:lang w:val="en-US"/>
        </w:rPr>
      </w:pPr>
      <w:r>
        <w:rPr>
          <w:rFonts w:asciiTheme="minorHAnsi" w:hAnsiTheme="minorHAnsi" w:cstheme="minorHAnsi"/>
          <w:szCs w:val="22"/>
          <w:lang w:val="en-US"/>
        </w:rPr>
        <w:t>Tel: + 44 (0)1725 518321</w:t>
      </w:r>
    </w:p>
    <w:p>
      <w:pPr>
        <w:spacing w:line="240" w:lineRule="exact"/>
        <w:rPr>
          <w:rFonts w:asciiTheme="minorHAnsi" w:hAnsiTheme="minorHAnsi" w:cstheme="minorHAnsi"/>
          <w:szCs w:val="22"/>
          <w:lang w:val="en-US"/>
        </w:rPr>
      </w:pPr>
      <w:hyperlink r:id="rId13" w:history="1">
        <w:r>
          <w:rPr>
            <w:rStyle w:val="Hyperlink"/>
            <w:rFonts w:asciiTheme="minorHAnsi" w:hAnsiTheme="minorHAnsi" w:cstheme="minorHAnsi"/>
            <w:szCs w:val="22"/>
            <w:lang w:val="en-US"/>
          </w:rPr>
          <w:t>nigel.may@parkfield.co.uk</w:t>
        </w:r>
      </w:hyperlink>
      <w:r>
        <w:rPr>
          <w:rFonts w:asciiTheme="minorHAnsi" w:hAnsiTheme="minorHAnsi" w:cstheme="minorHAnsi"/>
          <w:szCs w:val="22"/>
          <w:lang w:val="en-US"/>
        </w:rPr>
        <w:t xml:space="preserve"> </w:t>
      </w:r>
    </w:p>
    <w:p>
      <w:pPr>
        <w:spacing w:line="240" w:lineRule="exact"/>
        <w:rPr>
          <w:rFonts w:asciiTheme="minorHAnsi" w:hAnsiTheme="minorHAnsi" w:cstheme="minorHAnsi"/>
          <w:szCs w:val="22"/>
          <w:lang w:val="en-US"/>
        </w:rPr>
      </w:pPr>
      <w:hyperlink r:id="rId14" w:history="1">
        <w:r>
          <w:rPr>
            <w:rStyle w:val="Hyperlink"/>
            <w:rFonts w:asciiTheme="minorHAnsi" w:hAnsiTheme="minorHAnsi" w:cstheme="minorHAnsi"/>
            <w:szCs w:val="22"/>
            <w:lang w:val="en-US"/>
          </w:rPr>
          <w:t>parkfield.co.uk</w:t>
        </w:r>
      </w:hyperlink>
      <w:r>
        <w:rPr>
          <w:rFonts w:asciiTheme="minorHAnsi" w:hAnsiTheme="minorHAnsi" w:cstheme="minorHAnsi"/>
          <w:szCs w:val="22"/>
          <w:lang w:val="en-US"/>
        </w:rPr>
        <w:br/>
      </w:r>
    </w:p>
    <w:p>
      <w:pPr>
        <w:spacing w:line="240" w:lineRule="exact"/>
        <w:rPr>
          <w:rFonts w:asciiTheme="minorHAnsi" w:hAnsiTheme="minorHAnsi" w:cstheme="minorHAnsi"/>
          <w:szCs w:val="22"/>
          <w:lang w:val="en-US"/>
        </w:rPr>
      </w:pPr>
      <w:r>
        <w:rPr>
          <w:rFonts w:asciiTheme="minorHAnsi" w:hAnsiTheme="minorHAnsi" w:cstheme="minorHAnsi"/>
          <w:szCs w:val="22"/>
          <w:lang w:val="en-US"/>
        </w:rPr>
        <w:t xml:space="preserve">E2S is the world’s leading independent signaling manufacturer. Based in West London, England the company designs and manufactures a comprehensive range of signaling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pStyle w:val="BodyTextIndent"/>
        <w:ind w:firstLine="0"/>
        <w:jc w:val="left"/>
        <w:rPr>
          <w:rFonts w:asciiTheme="minorHAnsi" w:hAnsiTheme="minorHAnsi" w:cstheme="minorHAnsi"/>
          <w:sz w:val="22"/>
          <w:szCs w:val="22"/>
          <w:lang w:val="en-US"/>
        </w:rPr>
      </w:pP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E2S Warning Signals</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17633 Telge Road</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Cypress, Houston</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TX 77086</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United States of America</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Tel: + 1 281-377-4401</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Fax: + 1 281-440-4040</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Mail: </w:t>
      </w:r>
      <w:hyperlink r:id="rId15" w:history="1">
        <w:r>
          <w:rPr>
            <w:rStyle w:val="Hyperlink"/>
            <w:rFonts w:asciiTheme="minorHAnsi" w:hAnsiTheme="minorHAnsi" w:cstheme="minorHAnsi"/>
            <w:sz w:val="22"/>
            <w:szCs w:val="22"/>
            <w:lang w:val="en-US"/>
          </w:rPr>
          <w:t>sales@e2s.com</w:t>
        </w:r>
      </w:hyperlink>
      <w:r>
        <w:rPr>
          <w:rFonts w:asciiTheme="minorHAnsi" w:hAnsiTheme="minorHAnsi" w:cstheme="minorHAnsi"/>
          <w:sz w:val="22"/>
          <w:szCs w:val="22"/>
          <w:lang w:val="en-US"/>
        </w:rPr>
        <w:t xml:space="preserve"> </w:t>
      </w:r>
    </w:p>
    <w:p>
      <w:pPr>
        <w:pStyle w:val="BodyTextIndent"/>
        <w:ind w:firstLine="0"/>
        <w:jc w:val="left"/>
        <w:rPr>
          <w:rFonts w:asciiTheme="minorHAnsi" w:hAnsiTheme="minorHAnsi" w:cstheme="minorHAnsi"/>
          <w:sz w:val="22"/>
          <w:szCs w:val="22"/>
          <w:lang w:val="en-US"/>
        </w:rPr>
      </w:pPr>
      <w:r>
        <w:rPr>
          <w:rFonts w:asciiTheme="minorHAnsi" w:hAnsiTheme="minorHAnsi" w:cstheme="minorHAnsi"/>
          <w:sz w:val="22"/>
          <w:szCs w:val="22"/>
          <w:lang w:val="en-US"/>
        </w:rPr>
        <w:t xml:space="preserve">Web: </w:t>
      </w:r>
      <w:hyperlink r:id="rId16" w:history="1">
        <w:r>
          <w:rPr>
            <w:rStyle w:val="Hyperlink"/>
            <w:rFonts w:asciiTheme="minorHAnsi" w:hAnsiTheme="minorHAnsi" w:cstheme="minorHAnsi"/>
            <w:sz w:val="22"/>
            <w:szCs w:val="22"/>
            <w:lang w:val="en-US"/>
          </w:rPr>
          <w:t>www.e2s.com</w:t>
        </w:r>
      </w:hyperlink>
      <w:r>
        <w:rPr>
          <w:rFonts w:asciiTheme="minorHAnsi" w:hAnsiTheme="minorHAnsi" w:cstheme="minorHAnsi"/>
          <w:sz w:val="22"/>
          <w:szCs w:val="22"/>
          <w:lang w:val="en-US"/>
        </w:rPr>
        <w:t xml:space="preserve"> </w:t>
      </w:r>
    </w:p>
    <w:p>
      <w:pPr>
        <w:tabs>
          <w:tab w:val="left" w:pos="851"/>
          <w:tab w:val="right" w:pos="9072"/>
        </w:tabs>
        <w:rPr>
          <w:bCs/>
          <w:lang w:val="en-US"/>
        </w:rPr>
      </w:pPr>
    </w:p>
    <w:p>
      <w:pPr>
        <w:tabs>
          <w:tab w:val="left" w:pos="851"/>
          <w:tab w:val="right" w:pos="9072"/>
        </w:tabs>
        <w:rPr>
          <w:bCs/>
          <w:lang w:val="en-US"/>
        </w:rPr>
      </w:pPr>
    </w:p>
    <w:p>
      <w:pPr>
        <w:tabs>
          <w:tab w:val="left" w:pos="851"/>
          <w:tab w:val="right" w:pos="9072"/>
        </w:tabs>
        <w:rPr>
          <w:bCs/>
          <w:lang w:val="en-US"/>
        </w:rPr>
      </w:pPr>
    </w:p>
    <w:p>
      <w:pPr>
        <w:tabs>
          <w:tab w:val="left" w:pos="851"/>
          <w:tab w:val="right" w:pos="9072"/>
        </w:tabs>
        <w:rPr>
          <w:bCs/>
          <w:lang w:val="en-US"/>
        </w:rPr>
      </w:pPr>
    </w:p>
    <w:p>
      <w:pPr>
        <w:tabs>
          <w:tab w:val="left" w:pos="851"/>
          <w:tab w:val="right" w:pos="9072"/>
        </w:tabs>
        <w:rPr>
          <w:bCs/>
          <w:lang w:val="en-US"/>
        </w:rPr>
      </w:pPr>
    </w:p>
    <w:sectPr>
      <w:type w:val="continuous"/>
      <w:pgSz w:w="11900" w:h="16820" w:code="9"/>
      <w:pgMar w:top="1418" w:right="1418" w:bottom="1418" w:left="1418" w:header="1418" w:footer="1418" w:gutter="0"/>
      <w:paperSrc w:first="1" w:other="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pitch w:val="variable"/>
    <w:sig w:usb0="E0002EFF" w:usb1="C000785B" w:usb2="00000009" w:usb3="00000000" w:csb0="000001FF" w:csb1="00000000"/>
  </w:font>
  <w:font w:name="Swis721 B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PostScriptOverText/>
  <w:proofState w:spelling="clean" w:grammar="clean"/>
  <w:revisionView w:inkAnnotations="0"/>
  <w:defaultTabStop w:val="567"/>
  <w:drawingGridHorizontalSpacing w:val="10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efaultImageDpi w14:val="330"/>
  <w15:chartTrackingRefBased/>
  <w15:docId w15:val="{9E9F4AF5-5E2D-4A62-B2B2-3D7EBAF7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 w:type="character" w:styleId="Hyperlink">
    <w:name w:val="Hyperlink"/>
    <w:basedOn w:val="DefaultParagraphFont"/>
    <w:unhideWhenUsed/>
    <w:rPr>
      <w:color w:val="0000FF" w:themeColor="hyperlink"/>
      <w:u w:val="single"/>
    </w:rPr>
  </w:style>
  <w:style w:type="paragraph" w:styleId="BodyTextIndent">
    <w:name w:val="Body Text Indent"/>
    <w:basedOn w:val="Normal"/>
    <w:link w:val="BodyTextIndentChar"/>
    <w:pPr>
      <w:ind w:firstLine="567"/>
      <w:jc w:val="both"/>
    </w:pPr>
    <w:rPr>
      <w:rFonts w:ascii="Swis721 BT" w:eastAsia="Times New Roman" w:hAnsi="Swis721 BT"/>
      <w:sz w:val="20"/>
      <w:lang w:eastAsia="en-US"/>
    </w:rPr>
  </w:style>
  <w:style w:type="character" w:customStyle="1" w:styleId="BodyTextIndentChar">
    <w:name w:val="Body Text Indent Char"/>
    <w:basedOn w:val="DefaultParagraphFont"/>
    <w:link w:val="BodyTextIndent"/>
    <w:rPr>
      <w:rFonts w:ascii="Swis721 BT" w:eastAsia="Times New Roman" w:hAnsi="Swis721 BT"/>
      <w:sz w:val="20"/>
      <w:lang w:eastAsia="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kfield.co.uk/e2s-usa/" TargetMode="External"/><Relationship Id="rId13" Type="http://schemas.openxmlformats.org/officeDocument/2006/relationships/hyperlink" Target="mailto:nigel.may@parkfield.co.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arkfield.co.uk/e2s-usa/nfpa22.docx" TargetMode="External"/><Relationship Id="rId12" Type="http://schemas.openxmlformats.org/officeDocument/2006/relationships/hyperlink" Target="file:///C:\Users\User\Documents\Words\E2S\www.nfpa.org\conferenc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2s.com" TargetMode="External"/><Relationship Id="rId1" Type="http://schemas.openxmlformats.org/officeDocument/2006/relationships/styles" Target="styles.xml"/><Relationship Id="rId6" Type="http://schemas.openxmlformats.org/officeDocument/2006/relationships/hyperlink" Target="https://www.parkfield.co.uk/e2s-usa/nfpa22-d1x-print.jpg" TargetMode="External"/><Relationship Id="rId11" Type="http://schemas.openxmlformats.org/officeDocument/2006/relationships/hyperlink" Target="https://www.e2s.com/products/fire-and-industrial/family/rn070" TargetMode="External"/><Relationship Id="rId5" Type="http://schemas.openxmlformats.org/officeDocument/2006/relationships/endnotes" Target="endnotes.xml"/><Relationship Id="rId15" Type="http://schemas.openxmlformats.org/officeDocument/2006/relationships/hyperlink" Target="mailto:sales@e2s.com" TargetMode="External"/><Relationship Id="rId10" Type="http://schemas.openxmlformats.org/officeDocument/2006/relationships/hyperlink" Target="https://www.e2s.com/products/fire-and-industrial/family/rn060" TargetMode="External"/><Relationship Id="rId4" Type="http://schemas.openxmlformats.org/officeDocument/2006/relationships/footnotes" Target="footnotes.xml"/><Relationship Id="rId9" Type="http://schemas.openxmlformats.org/officeDocument/2006/relationships/hyperlink" Target="https://www.e2s.com/product/13482" TargetMode="External"/><Relationship Id="rId14"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2022-05-17T15:40:00Z</dcterms:created>
  <dcterms:modified xsi:type="dcterms:W3CDTF">2022-05-17T15:40:00Z</dcterms:modified>
</cp:coreProperties>
</file>