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348" w:rsidRPr="00EE68B6" w:rsidRDefault="00194348" w:rsidP="004A1B80">
      <w:pPr>
        <w:tabs>
          <w:tab w:val="left" w:pos="851"/>
          <w:tab w:val="right" w:pos="9072"/>
        </w:tabs>
        <w:rPr>
          <w:rFonts w:ascii="MingLiU" w:eastAsia="MingLiU" w:hAnsi="MingLiU" w:cs="SimSun"/>
          <w:b/>
          <w:bCs/>
          <w:color w:val="C00000"/>
          <w:sz w:val="48"/>
          <w:szCs w:val="48"/>
        </w:rPr>
      </w:pPr>
      <w:r w:rsidRPr="009340C7">
        <w:rPr>
          <w:rFonts w:ascii="MingLiU" w:eastAsia="MingLiU" w:hAnsi="MingLiU" w:cs="SimSun" w:hint="eastAsia"/>
          <w:b/>
          <w:bCs/>
          <w:color w:val="C00000"/>
          <w:sz w:val="50"/>
          <w:szCs w:val="50"/>
        </w:rPr>
        <w:t>新闻资料</w:t>
      </w:r>
      <w:r w:rsidRPr="00EE68B6">
        <w:rPr>
          <w:rFonts w:ascii="MingLiU" w:eastAsia="MingLiU" w:hAnsi="MingLiU" w:cs="SimSun"/>
          <w:b/>
          <w:bCs/>
          <w:color w:val="C00000"/>
          <w:sz w:val="48"/>
          <w:szCs w:val="48"/>
        </w:rPr>
        <w:t xml:space="preserve"> </w:t>
      </w:r>
      <w:r w:rsidRPr="00EE68B6">
        <w:rPr>
          <w:rFonts w:ascii="MingLiU" w:eastAsia="MingLiU" w:hAnsi="MingLiU" w:cs="SimSun"/>
          <w:b/>
          <w:bCs/>
          <w:noProof/>
          <w:color w:val="C00000"/>
          <w:sz w:val="48"/>
          <w:szCs w:val="48"/>
        </w:rPr>
        <w:tab/>
      </w:r>
      <w:r w:rsidRPr="00EE68B6">
        <w:rPr>
          <w:rFonts w:ascii="MingLiU" w:eastAsia="MingLiU" w:hAnsi="MingLiU" w:cs="SimSun"/>
          <w:b/>
          <w:bCs/>
          <w:noProof/>
          <w:color w:val="C00000"/>
          <w:sz w:val="48"/>
          <w:szCs w:val="48"/>
        </w:rPr>
        <w:drawing>
          <wp:anchor distT="0" distB="0" distL="114300" distR="114300" simplePos="0" relativeHeight="251659264" behindDoc="0" locked="0" layoutInCell="1" allowOverlap="1">
            <wp:simplePos x="0" y="0"/>
            <wp:positionH relativeFrom="column">
              <wp:posOffset>4122217</wp:posOffset>
            </wp:positionH>
            <wp:positionV relativeFrom="paragraph">
              <wp:posOffset>-660</wp:posOffset>
            </wp:positionV>
            <wp:extent cx="1641500" cy="848563"/>
            <wp:effectExtent l="19050" t="0" r="0" b="0"/>
            <wp:wrapSquare wrapText="bothSides"/>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1641500" cy="848563"/>
                    </a:xfrm>
                    <a:prstGeom prst="rect">
                      <a:avLst/>
                    </a:prstGeom>
                  </pic:spPr>
                </pic:pic>
              </a:graphicData>
            </a:graphic>
          </wp:anchor>
        </w:drawing>
      </w:r>
    </w:p>
    <w:p w:rsidR="00194348" w:rsidRPr="00EE68B6" w:rsidRDefault="00194348" w:rsidP="004A1B80">
      <w:pPr>
        <w:rPr>
          <w:rFonts w:ascii="MingLiU" w:eastAsia="MingLiU" w:hAnsi="MingLiU" w:cs="SimSun"/>
          <w:bCs/>
        </w:rPr>
      </w:pPr>
      <w:r w:rsidRPr="00EE68B6">
        <w:rPr>
          <w:rFonts w:ascii="MingLiU" w:eastAsia="MingLiU" w:hAnsi="MingLiU" w:cs="SimSun" w:hint="eastAsia"/>
          <w:bCs/>
        </w:rPr>
        <w:t>要下载</w:t>
      </w:r>
      <w:r w:rsidRPr="00EE68B6">
        <w:rPr>
          <w:rFonts w:ascii="MingLiU" w:eastAsia="MingLiU" w:hAnsi="MingLiU" w:cs="SimSun"/>
          <w:bCs/>
        </w:rPr>
        <w:t xml:space="preserve"> 300dpi </w:t>
      </w:r>
      <w:r w:rsidRPr="00EE68B6">
        <w:rPr>
          <w:rFonts w:ascii="MingLiU" w:eastAsia="MingLiU" w:hAnsi="MingLiU" w:cs="SimSun" w:hint="eastAsia"/>
          <w:bCs/>
        </w:rPr>
        <w:t>打印质量图片，请访问</w:t>
      </w:r>
      <w:r w:rsidRPr="00EE68B6">
        <w:rPr>
          <w:rFonts w:ascii="MingLiU" w:eastAsia="MingLiU" w:hAnsi="MingLiU" w:cs="SimSun"/>
          <w:bCs/>
        </w:rPr>
        <w:t xml:space="preserve"> </w:t>
      </w:r>
      <w:hyperlink r:id="rId7" w:history="1">
        <w:r>
          <w:rPr>
            <w:rStyle w:val="Hyperlink"/>
            <w:rFonts w:ascii="MingLiU" w:eastAsia="MingLiU" w:hAnsi="MingLiU" w:cs="SimSun"/>
            <w:bCs/>
          </w:rPr>
          <w:t>parkfield.co.uk/e2s/adipec18-print.jpg</w:t>
        </w:r>
      </w:hyperlink>
    </w:p>
    <w:p w:rsidR="00194348" w:rsidRPr="00EE68B6" w:rsidRDefault="00194348" w:rsidP="004A1B80">
      <w:pPr>
        <w:rPr>
          <w:rFonts w:ascii="MingLiU" w:eastAsia="MingLiU" w:hAnsi="MingLiU" w:cs="SimSun"/>
          <w:bCs/>
        </w:rPr>
      </w:pPr>
      <w:r w:rsidRPr="00EE68B6">
        <w:rPr>
          <w:rFonts w:ascii="MingLiU" w:eastAsia="MingLiU" w:hAnsi="MingLiU" w:cs="SimSun" w:hint="eastAsia"/>
          <w:bCs/>
        </w:rPr>
        <w:t>要下载</w:t>
      </w:r>
      <w:r w:rsidRPr="00EE68B6">
        <w:rPr>
          <w:rFonts w:ascii="MingLiU" w:eastAsia="MingLiU" w:hAnsi="MingLiU" w:cs="SimSun"/>
          <w:bCs/>
        </w:rPr>
        <w:t xml:space="preserve"> Word </w:t>
      </w:r>
      <w:r w:rsidRPr="00EE68B6">
        <w:rPr>
          <w:rFonts w:ascii="MingLiU" w:eastAsia="MingLiU" w:hAnsi="MingLiU" w:cs="SimSun" w:hint="eastAsia"/>
          <w:bCs/>
        </w:rPr>
        <w:t>格式文章，请访问</w:t>
      </w:r>
      <w:r w:rsidRPr="00EE68B6">
        <w:rPr>
          <w:rFonts w:ascii="MingLiU" w:eastAsia="MingLiU" w:hAnsi="MingLiU" w:cs="SimSun"/>
          <w:bCs/>
        </w:rPr>
        <w:t xml:space="preserve"> </w:t>
      </w:r>
      <w:hyperlink r:id="rId8" w:history="1">
        <w:r>
          <w:rPr>
            <w:rStyle w:val="Hyperlink"/>
            <w:rFonts w:ascii="MingLiU" w:eastAsia="MingLiU" w:hAnsi="MingLiU" w:cs="SimSun"/>
            <w:bCs/>
          </w:rPr>
          <w:t>parkfield.co.uk/e2s/adipec18-cn.docx</w:t>
        </w:r>
      </w:hyperlink>
    </w:p>
    <w:p w:rsidR="00194348" w:rsidRPr="00620916" w:rsidRDefault="00194348" w:rsidP="00194348">
      <w:r w:rsidRPr="00EE68B6">
        <w:rPr>
          <w:rFonts w:ascii="MingLiU" w:eastAsia="MingLiU" w:hAnsi="MingLiU" w:cs="SimSun" w:hint="eastAsia"/>
          <w:bCs/>
        </w:rPr>
        <w:t>要查看全部</w:t>
      </w:r>
      <w:r w:rsidRPr="00EE68B6">
        <w:rPr>
          <w:rFonts w:ascii="MingLiU" w:eastAsia="MingLiU" w:hAnsi="MingLiU" w:cs="SimSun"/>
          <w:bCs/>
          <w:lang w:val="pt-BR"/>
        </w:rPr>
        <w:t xml:space="preserve"> E2S </w:t>
      </w:r>
      <w:r w:rsidRPr="00EE68B6">
        <w:rPr>
          <w:rFonts w:ascii="MingLiU" w:eastAsia="MingLiU" w:hAnsi="MingLiU" w:cs="SimSun" w:hint="eastAsia"/>
          <w:bCs/>
        </w:rPr>
        <w:t>新闻资料</w:t>
      </w:r>
      <w:r w:rsidRPr="00EE68B6">
        <w:rPr>
          <w:rFonts w:ascii="MingLiU" w:eastAsia="MingLiU" w:hAnsi="MingLiU" w:cs="SimSun" w:hint="eastAsia"/>
          <w:bCs/>
          <w:lang w:val="pt-BR"/>
        </w:rPr>
        <w:t>，</w:t>
      </w:r>
      <w:r w:rsidRPr="00EE68B6">
        <w:rPr>
          <w:rFonts w:ascii="MingLiU" w:eastAsia="MingLiU" w:hAnsi="MingLiU" w:cs="SimSun" w:hint="eastAsia"/>
          <w:bCs/>
        </w:rPr>
        <w:t>请访问</w:t>
      </w:r>
      <w:r w:rsidRPr="00EE68B6">
        <w:rPr>
          <w:rFonts w:ascii="MingLiU" w:eastAsia="MingLiU" w:hAnsi="MingLiU" w:cs="SimSun"/>
          <w:bCs/>
          <w:lang w:val="pt-BR"/>
        </w:rPr>
        <w:t xml:space="preserve"> </w:t>
      </w:r>
      <w:hyperlink r:id="rId9" w:history="1">
        <w:r>
          <w:rPr>
            <w:rStyle w:val="Hyperlink"/>
            <w:rFonts w:ascii="MingLiU" w:eastAsia="MingLiU" w:hAnsi="MingLiU" w:cs="SimSun"/>
            <w:bCs/>
            <w:lang w:val="pt-BR"/>
          </w:rPr>
          <w:t>parkfield.co.uk/e2s/</w:t>
        </w:r>
      </w:hyperlink>
      <w:r w:rsidRPr="00EE68B6">
        <w:rPr>
          <w:rFonts w:ascii="MingLiU" w:eastAsia="MingLiU" w:hAnsi="MingLiU"/>
        </w:rPr>
        <w:br/>
      </w:r>
      <w:r w:rsidRPr="00EE68B6">
        <w:rPr>
          <w:rFonts w:ascii="MingLiU" w:eastAsia="MingLiU" w:hAnsi="MingLiU"/>
        </w:rPr>
        <w:br/>
      </w:r>
      <w:r>
        <w:rPr>
          <w:rFonts w:ascii="Calibri" w:eastAsia="SimSun" w:hAnsi="Calibri" w:hint="eastAsia"/>
          <w:b/>
        </w:rPr>
        <w:t xml:space="preserve">E2S </w:t>
      </w:r>
      <w:r>
        <w:rPr>
          <w:rFonts w:ascii="Calibri" w:eastAsia="SimSun" w:hAnsi="Calibri" w:hint="eastAsia"/>
          <w:b/>
        </w:rPr>
        <w:t>在阿布扎比国际石油博览会上展出其最新的危险场所警告信号技术</w:t>
      </w:r>
    </w:p>
    <w:p w:rsidR="00194348" w:rsidRPr="00194348" w:rsidRDefault="00194348" w:rsidP="00194348">
      <w:pPr>
        <w:tabs>
          <w:tab w:val="left" w:pos="851"/>
          <w:tab w:val="right" w:pos="9072"/>
        </w:tabs>
        <w:rPr>
          <w:rFonts w:ascii="Calibri" w:eastAsia="SimSun" w:hAnsi="Calibri" w:cs="Times New Roman"/>
          <w:b/>
        </w:rPr>
      </w:pPr>
      <w:r>
        <w:rPr>
          <w:rFonts w:ascii="Calibri" w:eastAsia="SimSun" w:hAnsi="Calibri" w:hint="eastAsia"/>
          <w:b/>
        </w:rPr>
        <w:br/>
      </w:r>
      <w:r>
        <w:rPr>
          <w:rFonts w:ascii="Calibri" w:eastAsia="SimSun" w:hAnsi="Calibri" w:hint="eastAsia"/>
        </w:rPr>
        <w:t>全球领先的独立信号装置制造商</w:t>
      </w:r>
      <w:r>
        <w:rPr>
          <w:rFonts w:ascii="Calibri" w:eastAsia="SimSun" w:hAnsi="Calibri" w:hint="eastAsia"/>
        </w:rPr>
        <w:t xml:space="preserve"> E2S Warning Signals </w:t>
      </w:r>
      <w:r>
        <w:rPr>
          <w:rFonts w:ascii="Calibri" w:eastAsia="SimSun" w:hAnsi="Calibri" w:hint="eastAsia"/>
        </w:rPr>
        <w:t>将展出其用于海上和陆上危险区域设施中的火灾和气体警告系统的各种报警喇叭、信号灯、扬声器和报警装置最新产品。</w:t>
      </w:r>
      <w:r>
        <w:rPr>
          <w:rFonts w:hint="eastAsia"/>
        </w:rPr>
        <w:t>在</w:t>
      </w:r>
      <w:r>
        <w:rPr>
          <w:rFonts w:hint="eastAsia"/>
        </w:rPr>
        <w:t xml:space="preserve"> </w:t>
      </w:r>
      <w:r>
        <w:rPr>
          <w:rFonts w:ascii="Calibri" w:eastAsia="SimSun" w:hAnsi="Calibri" w:hint="eastAsia"/>
        </w:rPr>
        <w:t xml:space="preserve">2018 </w:t>
      </w:r>
      <w:r>
        <w:rPr>
          <w:rFonts w:ascii="Calibri" w:eastAsia="SimSun" w:hAnsi="Calibri" w:hint="eastAsia"/>
        </w:rPr>
        <w:t>年</w:t>
      </w:r>
      <w:r>
        <w:rPr>
          <w:rFonts w:ascii="Calibri" w:eastAsia="SimSun" w:hAnsi="Calibri" w:hint="eastAsia"/>
        </w:rPr>
        <w:t xml:space="preserve"> 11 </w:t>
      </w:r>
      <w:r>
        <w:rPr>
          <w:rFonts w:ascii="Calibri" w:eastAsia="SimSun" w:hAnsi="Calibri" w:hint="eastAsia"/>
        </w:rPr>
        <w:t>月</w:t>
      </w:r>
      <w:r>
        <w:rPr>
          <w:rFonts w:ascii="Calibri" w:eastAsia="SimSun" w:hAnsi="Calibri" w:hint="eastAsia"/>
        </w:rPr>
        <w:t xml:space="preserve"> 12 </w:t>
      </w:r>
      <w:r>
        <w:rPr>
          <w:rFonts w:ascii="Calibri" w:eastAsia="SimSun" w:hAnsi="Calibri" w:hint="eastAsia"/>
        </w:rPr>
        <w:t>日至</w:t>
      </w:r>
      <w:r>
        <w:rPr>
          <w:rFonts w:ascii="Calibri" w:eastAsia="SimSun" w:hAnsi="Calibri" w:hint="eastAsia"/>
        </w:rPr>
        <w:t xml:space="preserve"> 15 </w:t>
      </w:r>
      <w:r>
        <w:rPr>
          <w:rFonts w:ascii="Calibri" w:eastAsia="SimSun" w:hAnsi="Calibri" w:hint="eastAsia"/>
        </w:rPr>
        <w:t>日阿布扎比国际石油博览会的第</w:t>
      </w:r>
      <w:r>
        <w:rPr>
          <w:rFonts w:ascii="Calibri" w:eastAsia="SimSun" w:hAnsi="Calibri" w:hint="eastAsia"/>
        </w:rPr>
        <w:t xml:space="preserve"> 8620 </w:t>
      </w:r>
      <w:r>
        <w:rPr>
          <w:rFonts w:ascii="Calibri" w:eastAsia="SimSun" w:hAnsi="Calibri" w:hint="eastAsia"/>
        </w:rPr>
        <w:t>号展台上将展出</w:t>
      </w:r>
      <w:r>
        <w:rPr>
          <w:rFonts w:ascii="Calibri" w:eastAsia="SimSun" w:hAnsi="Calibri" w:hint="eastAsia"/>
        </w:rPr>
        <w:t xml:space="preserve"> </w:t>
      </w:r>
      <w:hyperlink r:id="rId10" w:history="1">
        <w:r>
          <w:rPr>
            <w:rStyle w:val="Hyperlink"/>
            <w:rFonts w:ascii="Calibri" w:eastAsia="SimSun" w:hAnsi="Calibri" w:hint="eastAsia"/>
          </w:rPr>
          <w:t xml:space="preserve">D2x </w:t>
        </w:r>
        <w:r>
          <w:rPr>
            <w:rStyle w:val="Hyperlink"/>
            <w:rFonts w:ascii="Calibri" w:eastAsia="SimSun" w:hAnsi="Calibri" w:hint="eastAsia"/>
          </w:rPr>
          <w:t>系列</w:t>
        </w:r>
      </w:hyperlink>
      <w:r>
        <w:rPr>
          <w:rFonts w:ascii="Calibri" w:eastAsia="SimSun" w:hAnsi="Calibri" w:hint="eastAsia"/>
        </w:rPr>
        <w:t>信号灯和组合装置，该装置通过了公共模式火灾警报系统的</w:t>
      </w:r>
      <w:r>
        <w:rPr>
          <w:rFonts w:ascii="Calibri" w:eastAsia="SimSun" w:hAnsi="Calibri" w:hint="eastAsia"/>
        </w:rPr>
        <w:t xml:space="preserve"> UL464 </w:t>
      </w:r>
      <w:r>
        <w:rPr>
          <w:rFonts w:ascii="Calibri" w:eastAsia="SimSun" w:hAnsi="Calibri" w:hint="eastAsia"/>
        </w:rPr>
        <w:t>和</w:t>
      </w:r>
      <w:r>
        <w:rPr>
          <w:rFonts w:ascii="Calibri" w:eastAsia="SimSun" w:hAnsi="Calibri" w:hint="eastAsia"/>
        </w:rPr>
        <w:t xml:space="preserve"> UL1638/UL1971 </w:t>
      </w:r>
      <w:r>
        <w:rPr>
          <w:rFonts w:ascii="Calibri" w:eastAsia="SimSun" w:hAnsi="Calibri" w:hint="eastAsia"/>
        </w:rPr>
        <w:t>认证。同时还将展出</w:t>
      </w:r>
      <w:r>
        <w:rPr>
          <w:rFonts w:ascii="Calibri" w:eastAsia="SimSun" w:hAnsi="Calibri" w:hint="eastAsia"/>
        </w:rPr>
        <w:t xml:space="preserve"> </w:t>
      </w:r>
      <w:hyperlink r:id="rId11" w:history="1">
        <w:r>
          <w:rPr>
            <w:rStyle w:val="Hyperlink"/>
            <w:rFonts w:ascii="Calibri" w:eastAsia="SimSun" w:hAnsi="Calibri" w:hint="eastAsia"/>
          </w:rPr>
          <w:t xml:space="preserve">GNEx </w:t>
        </w:r>
        <w:r>
          <w:rPr>
            <w:rStyle w:val="Hyperlink"/>
            <w:rFonts w:ascii="Calibri" w:eastAsia="SimSun" w:hAnsi="Calibri" w:hint="eastAsia"/>
          </w:rPr>
          <w:t>系列</w:t>
        </w:r>
      </w:hyperlink>
      <w:r>
        <w:rPr>
          <w:rFonts w:ascii="Calibri" w:eastAsia="SimSun" w:hAnsi="Calibri" w:hint="eastAsia"/>
        </w:rPr>
        <w:t>防腐蚀</w:t>
      </w:r>
      <w:r>
        <w:rPr>
          <w:rFonts w:ascii="Calibri" w:eastAsia="SimSun" w:hAnsi="Calibri" w:hint="eastAsia"/>
        </w:rPr>
        <w:t xml:space="preserve"> GRP </w:t>
      </w:r>
      <w:r>
        <w:rPr>
          <w:rFonts w:ascii="Calibri" w:eastAsia="SimSun" w:hAnsi="Calibri" w:hint="eastAsia"/>
        </w:rPr>
        <w:t>发声器、信号灯和手动报警装置，这些设备均通过多种全球认证；以及</w:t>
      </w:r>
      <w:hyperlink r:id="rId12" w:history="1">
        <w:r>
          <w:rPr>
            <w:rFonts w:ascii="Calibri" w:eastAsia="SimSun" w:hAnsi="Calibri" w:hint="eastAsia"/>
            <w:color w:val="0000FF"/>
            <w:u w:val="single"/>
          </w:rPr>
          <w:t xml:space="preserve">D1x </w:t>
        </w:r>
        <w:r>
          <w:rPr>
            <w:rFonts w:ascii="Calibri" w:eastAsia="SimSun" w:hAnsi="Calibri" w:hint="eastAsia"/>
            <w:color w:val="0000FF"/>
            <w:u w:val="single"/>
          </w:rPr>
          <w:t>系列</w:t>
        </w:r>
      </w:hyperlink>
      <w:r>
        <w:rPr>
          <w:rFonts w:ascii="Calibri" w:eastAsia="SimSun" w:hAnsi="Calibri" w:hint="eastAsia"/>
        </w:rPr>
        <w:t>氙气闪光灯，它是经过</w:t>
      </w:r>
      <w:r>
        <w:rPr>
          <w:rFonts w:ascii="Calibri" w:eastAsia="SimSun" w:hAnsi="Calibri" w:hint="eastAsia"/>
        </w:rPr>
        <w:t xml:space="preserve"> UL1971/UL1638 </w:t>
      </w:r>
      <w:r>
        <w:rPr>
          <w:rFonts w:ascii="Calibri" w:eastAsia="SimSun" w:hAnsi="Calibri" w:hint="eastAsia"/>
        </w:rPr>
        <w:t>批准的最明亮的信号灯，可用于</w:t>
      </w:r>
      <w:r>
        <w:rPr>
          <w:rFonts w:ascii="Calibri" w:eastAsia="SimSun" w:hAnsi="Calibri" w:hint="eastAsia"/>
        </w:rPr>
        <w:t>C</w:t>
      </w:r>
      <w:r>
        <w:rPr>
          <w:rFonts w:ascii="Calibri" w:eastAsia="SimSun" w:hAnsi="Calibri"/>
        </w:rPr>
        <w:t>lass</w:t>
      </w:r>
      <w:r>
        <w:rPr>
          <w:rFonts w:ascii="Calibri" w:eastAsia="SimSun" w:hAnsi="Calibri" w:hint="eastAsia"/>
        </w:rPr>
        <w:t xml:space="preserve"> I/II </w:t>
      </w:r>
      <w:r>
        <w:rPr>
          <w:rFonts w:ascii="Calibri" w:eastAsia="SimSun" w:hAnsi="Calibri"/>
        </w:rPr>
        <w:t>Division</w:t>
      </w:r>
      <w:r>
        <w:rPr>
          <w:rFonts w:ascii="Calibri" w:eastAsia="SimSun" w:hAnsi="Calibri" w:hint="eastAsia"/>
        </w:rPr>
        <w:t xml:space="preserve"> 1 </w:t>
      </w:r>
      <w:r>
        <w:rPr>
          <w:rFonts w:ascii="Calibri" w:eastAsia="SimSun" w:hAnsi="Calibri" w:hint="eastAsia"/>
        </w:rPr>
        <w:t>和</w:t>
      </w:r>
      <w:r>
        <w:rPr>
          <w:rFonts w:ascii="Calibri" w:eastAsia="SimSun" w:hAnsi="Calibri" w:hint="eastAsia"/>
        </w:rPr>
        <w:t>C</w:t>
      </w:r>
      <w:r>
        <w:rPr>
          <w:rFonts w:ascii="Calibri" w:eastAsia="SimSun" w:hAnsi="Calibri"/>
        </w:rPr>
        <w:t>lass</w:t>
      </w:r>
      <w:r>
        <w:rPr>
          <w:rFonts w:ascii="Calibri" w:eastAsia="SimSun" w:hAnsi="Calibri" w:hint="eastAsia"/>
        </w:rPr>
        <w:t xml:space="preserve"> I </w:t>
      </w:r>
      <w:r>
        <w:rPr>
          <w:rFonts w:ascii="Calibri" w:eastAsia="SimSun" w:hAnsi="Calibri"/>
        </w:rPr>
        <w:t>Zone</w:t>
      </w:r>
      <w:r>
        <w:rPr>
          <w:rFonts w:ascii="Calibri" w:eastAsia="SimSun" w:hAnsi="Calibri" w:hint="eastAsia"/>
        </w:rPr>
        <w:t xml:space="preserve"> 1/20 </w:t>
      </w:r>
      <w:r>
        <w:rPr>
          <w:rFonts w:ascii="Calibri" w:eastAsia="SimSun" w:hAnsi="Calibri" w:hint="eastAsia"/>
        </w:rPr>
        <w:t>区防爆应用。</w:t>
      </w:r>
    </w:p>
    <w:p w:rsidR="00194348" w:rsidRDefault="00194348" w:rsidP="00194348">
      <w:pPr>
        <w:tabs>
          <w:tab w:val="left" w:pos="851"/>
          <w:tab w:val="right" w:pos="9072"/>
        </w:tabs>
        <w:rPr>
          <w:rFonts w:ascii="Calibri" w:eastAsia="Calibri" w:hAnsi="Calibri" w:cs="Times New Roman"/>
          <w:lang w:val="en-US"/>
        </w:rPr>
      </w:pPr>
    </w:p>
    <w:p w:rsidR="00194348" w:rsidRDefault="00194348" w:rsidP="00194348">
      <w:pPr>
        <w:tabs>
          <w:tab w:val="left" w:pos="851"/>
          <w:tab w:val="right" w:pos="9072"/>
        </w:tabs>
      </w:pPr>
      <w:hyperlink r:id="rId13" w:history="1">
        <w:r>
          <w:rPr>
            <w:rStyle w:val="Hyperlink"/>
            <w:rFonts w:hint="eastAsia"/>
          </w:rPr>
          <w:t xml:space="preserve">D2x </w:t>
        </w:r>
        <w:r>
          <w:rPr>
            <w:rStyle w:val="Hyperlink"/>
            <w:rFonts w:hint="eastAsia"/>
          </w:rPr>
          <w:t>系列</w:t>
        </w:r>
      </w:hyperlink>
      <w:r>
        <w:rPr>
          <w:rFonts w:hint="eastAsia"/>
        </w:rPr>
        <w:t>信号灯可以和高功率</w:t>
      </w:r>
      <w:r>
        <w:rPr>
          <w:rFonts w:hint="eastAsia"/>
        </w:rPr>
        <w:t xml:space="preserve"> Cree® </w:t>
      </w:r>
      <w:r>
        <w:rPr>
          <w:rFonts w:hint="eastAsia"/>
        </w:rPr>
        <w:t>发光二极管阵列以及</w:t>
      </w:r>
      <w:r>
        <w:rPr>
          <w:rFonts w:hint="eastAsia"/>
        </w:rPr>
        <w:t xml:space="preserve"> 5 </w:t>
      </w:r>
      <w:r>
        <w:rPr>
          <w:rFonts w:hint="eastAsia"/>
        </w:rPr>
        <w:t>个和</w:t>
      </w:r>
      <w:r>
        <w:rPr>
          <w:rFonts w:hint="eastAsia"/>
        </w:rPr>
        <w:t xml:space="preserve"> 10 </w:t>
      </w:r>
      <w:r>
        <w:rPr>
          <w:rFonts w:hint="eastAsia"/>
        </w:rPr>
        <w:t>个</w:t>
      </w:r>
      <w:r>
        <w:rPr>
          <w:rFonts w:hint="eastAsia"/>
        </w:rPr>
        <w:t xml:space="preserve"> Joule </w:t>
      </w:r>
      <w:r>
        <w:rPr>
          <w:rFonts w:hint="eastAsia"/>
        </w:rPr>
        <w:t>氙气闪光灯一起使用，浪涌电流和动作电流极低，从而优化电缆选择并且降低电源要求。</w:t>
      </w:r>
    </w:p>
    <w:p w:rsidR="00194348" w:rsidRDefault="00194348" w:rsidP="00194348">
      <w:pPr>
        <w:tabs>
          <w:tab w:val="left" w:pos="851"/>
          <w:tab w:val="right" w:pos="9072"/>
        </w:tabs>
      </w:pPr>
    </w:p>
    <w:p w:rsidR="00194348" w:rsidRDefault="00194348" w:rsidP="00194348">
      <w:pPr>
        <w:tabs>
          <w:tab w:val="left" w:pos="851"/>
          <w:tab w:val="right" w:pos="9072"/>
        </w:tabs>
        <w:rPr>
          <w:rFonts w:cs="NewsGot-Lig"/>
        </w:rPr>
      </w:pPr>
      <w:hyperlink r:id="rId14" w:history="1">
        <w:r>
          <w:rPr>
            <w:rStyle w:val="Hyperlink"/>
            <w:rFonts w:hint="eastAsia"/>
          </w:rPr>
          <w:t xml:space="preserve">GNEx </w:t>
        </w:r>
        <w:r>
          <w:rPr>
            <w:rStyle w:val="Hyperlink"/>
            <w:rFonts w:hint="eastAsia"/>
          </w:rPr>
          <w:t>系列</w:t>
        </w:r>
      </w:hyperlink>
      <w:r>
        <w:rPr>
          <w:rFonts w:hint="eastAsia"/>
        </w:rPr>
        <w:t>经过国际电工委员会防爆电气产品认证体系</w:t>
      </w:r>
      <w:r>
        <w:rPr>
          <w:rFonts w:hint="eastAsia"/>
        </w:rPr>
        <w:t xml:space="preserve"> (IECEx) </w:t>
      </w:r>
      <w:r>
        <w:rPr>
          <w:rFonts w:hint="eastAsia"/>
        </w:rPr>
        <w:t>和欧盟</w:t>
      </w:r>
      <w:r>
        <w:rPr>
          <w:rFonts w:hint="eastAsia"/>
        </w:rPr>
        <w:t xml:space="preserve"> ATEX </w:t>
      </w:r>
      <w:r>
        <w:rPr>
          <w:rFonts w:hint="eastAsia"/>
        </w:rPr>
        <w:t>认证，可用于</w:t>
      </w:r>
      <w:r>
        <w:rPr>
          <w:rFonts w:hint="eastAsia"/>
        </w:rPr>
        <w:t xml:space="preserve"> </w:t>
      </w:r>
      <w:r>
        <w:t xml:space="preserve">Zone </w:t>
      </w:r>
      <w:r>
        <w:rPr>
          <w:rFonts w:hint="eastAsia"/>
        </w:rPr>
        <w:t>1</w:t>
      </w:r>
      <w:r>
        <w:rPr>
          <w:rFonts w:hint="eastAsia"/>
        </w:rPr>
        <w:t>、</w:t>
      </w:r>
      <w:r>
        <w:rPr>
          <w:rFonts w:hint="eastAsia"/>
        </w:rPr>
        <w:t>2</w:t>
      </w:r>
      <w:r>
        <w:rPr>
          <w:rFonts w:hint="eastAsia"/>
        </w:rPr>
        <w:t>、</w:t>
      </w:r>
      <w:r>
        <w:rPr>
          <w:rFonts w:hint="eastAsia"/>
        </w:rPr>
        <w:t xml:space="preserve">21 </w:t>
      </w:r>
      <w:r>
        <w:rPr>
          <w:rFonts w:hint="eastAsia"/>
        </w:rPr>
        <w:t>和</w:t>
      </w:r>
      <w:r>
        <w:rPr>
          <w:rFonts w:hint="eastAsia"/>
        </w:rPr>
        <w:t xml:space="preserve"> 22 </w:t>
      </w:r>
      <w:bookmarkStart w:id="0" w:name="_GoBack"/>
      <w:bookmarkEnd w:id="0"/>
      <w:r>
        <w:rPr>
          <w:rFonts w:hint="eastAsia"/>
        </w:rPr>
        <w:t>。所有</w:t>
      </w:r>
      <w:r>
        <w:rPr>
          <w:rFonts w:hint="eastAsia"/>
        </w:rPr>
        <w:t xml:space="preserve"> GNEx </w:t>
      </w:r>
      <w:r>
        <w:rPr>
          <w:rFonts w:hint="eastAsia"/>
        </w:rPr>
        <w:t>视觉信号均采用紫外线稳定的聚碳酸酯棱镜片，提供有琥珀色、蓝色、透明、绿色、洋红、红色和黄色，并且可以现场更换。</w:t>
      </w:r>
      <w:r>
        <w:rPr>
          <w:rFonts w:hint="eastAsia"/>
        </w:rPr>
        <w:t xml:space="preserve"> </w:t>
      </w:r>
    </w:p>
    <w:p w:rsidR="00194348" w:rsidRDefault="00194348" w:rsidP="00194348">
      <w:pPr>
        <w:tabs>
          <w:tab w:val="left" w:pos="851"/>
          <w:tab w:val="right" w:pos="9072"/>
        </w:tabs>
        <w:rPr>
          <w:rFonts w:cs="NewsGot-Lig"/>
        </w:rPr>
      </w:pPr>
    </w:p>
    <w:p w:rsidR="00194348" w:rsidRPr="00450D1F" w:rsidRDefault="00194348" w:rsidP="00194348">
      <w:pPr>
        <w:rPr>
          <w:rFonts w:ascii="Calibri" w:eastAsia="SimSun" w:hAnsi="Calibri" w:cs="Times New Roman"/>
        </w:rPr>
      </w:pPr>
      <w:hyperlink r:id="rId15" w:history="1">
        <w:r>
          <w:rPr>
            <w:rFonts w:ascii="Calibri" w:eastAsia="SimSun" w:hAnsi="Calibri" w:hint="eastAsia"/>
            <w:color w:val="0000FF"/>
            <w:u w:val="single"/>
          </w:rPr>
          <w:t xml:space="preserve">D1x </w:t>
        </w:r>
        <w:r>
          <w:rPr>
            <w:rFonts w:ascii="Calibri" w:eastAsia="SimSun" w:hAnsi="Calibri" w:hint="eastAsia"/>
            <w:color w:val="0000FF"/>
            <w:u w:val="single"/>
          </w:rPr>
          <w:t>系列</w:t>
        </w:r>
      </w:hyperlink>
      <w:r>
        <w:rPr>
          <w:rFonts w:ascii="Calibri" w:eastAsia="SimSun" w:hAnsi="Calibri" w:hint="eastAsia"/>
        </w:rPr>
        <w:t>氙气闪光灯采用了一个创新的轻型海洋级抗腐蚀外壳，可以安装在管道或表面上。为了实现完全的安装灵活性，选配的不锈钢支架使灯可以定位在任何方向上。凭借自动闪光同步、低浪涌电流和低工作电流，在每个电路上可以安装更多的装置，简化系统设计并且降低成本。</w:t>
      </w:r>
    </w:p>
    <w:p w:rsidR="00194348" w:rsidRDefault="00194348" w:rsidP="00194348">
      <w:pPr>
        <w:tabs>
          <w:tab w:val="left" w:pos="851"/>
          <w:tab w:val="right" w:pos="9072"/>
        </w:tabs>
        <w:rPr>
          <w:rFonts w:ascii="Calibri" w:eastAsia="SimSun" w:hAnsi="Calibri" w:cs="Times New Roman"/>
          <w:lang w:val="en-US"/>
        </w:rPr>
      </w:pPr>
    </w:p>
    <w:p w:rsidR="00194348" w:rsidRPr="0001193B" w:rsidRDefault="00194348" w:rsidP="00194348">
      <w:pPr>
        <w:tabs>
          <w:tab w:val="left" w:pos="851"/>
          <w:tab w:val="right" w:pos="9072"/>
        </w:tabs>
        <w:rPr>
          <w:rFonts w:ascii="Calibri" w:eastAsia="SimSun" w:hAnsi="Calibri" w:cs="Times New Roman"/>
          <w:i/>
          <w:color w:val="FF0000"/>
        </w:rPr>
      </w:pPr>
      <w:r>
        <w:rPr>
          <w:rFonts w:ascii="Calibri" w:eastAsia="SimSun" w:hAnsi="Calibri" w:hint="eastAsia"/>
        </w:rPr>
        <w:t>国际销售经理</w:t>
      </w:r>
      <w:r>
        <w:rPr>
          <w:rFonts w:ascii="Calibri" w:eastAsia="SimSun" w:hAnsi="Calibri" w:hint="eastAsia"/>
        </w:rPr>
        <w:t xml:space="preserve"> Darren Mann </w:t>
      </w:r>
      <w:r>
        <w:rPr>
          <w:rFonts w:ascii="Calibri" w:eastAsia="SimSun" w:hAnsi="Calibri" w:hint="eastAsia"/>
        </w:rPr>
        <w:t>和亚太地区销售经理</w:t>
      </w:r>
      <w:r>
        <w:rPr>
          <w:rFonts w:ascii="Calibri" w:eastAsia="SimSun" w:hAnsi="Calibri" w:hint="eastAsia"/>
        </w:rPr>
        <w:t xml:space="preserve"> Neal Porter </w:t>
      </w:r>
      <w:r>
        <w:rPr>
          <w:rFonts w:ascii="Calibri" w:eastAsia="SimSun" w:hAnsi="Calibri" w:hint="eastAsia"/>
        </w:rPr>
        <w:t>将负责展位。</w:t>
      </w:r>
    </w:p>
    <w:p w:rsidR="00194348" w:rsidRDefault="00194348" w:rsidP="00194348">
      <w:pPr>
        <w:tabs>
          <w:tab w:val="left" w:pos="851"/>
          <w:tab w:val="right" w:pos="9072"/>
        </w:tabs>
        <w:rPr>
          <w:rFonts w:ascii="Calibri" w:eastAsia="SimSun" w:hAnsi="Calibri" w:cs="Times New Roman"/>
        </w:rPr>
      </w:pPr>
    </w:p>
    <w:p w:rsidR="00194348" w:rsidRPr="00B1735D" w:rsidRDefault="00194348" w:rsidP="00194348">
      <w:pPr>
        <w:tabs>
          <w:tab w:val="left" w:pos="851"/>
          <w:tab w:val="right" w:pos="9072"/>
        </w:tabs>
        <w:rPr>
          <w:rFonts w:ascii="Calibri" w:eastAsia="SimSun" w:hAnsi="Calibri" w:cs="Times New Roman"/>
        </w:rPr>
      </w:pPr>
      <w:r>
        <w:rPr>
          <w:rFonts w:ascii="Calibri" w:eastAsia="SimSun" w:hAnsi="Calibri" w:hint="eastAsia"/>
        </w:rPr>
        <w:t>*** Ends: body copy 280 words ***</w:t>
      </w:r>
    </w:p>
    <w:p w:rsidR="00194348" w:rsidRDefault="00194348" w:rsidP="00194348">
      <w:pPr>
        <w:tabs>
          <w:tab w:val="left" w:pos="851"/>
          <w:tab w:val="right" w:pos="9072"/>
        </w:tabs>
        <w:rPr>
          <w:b/>
        </w:rPr>
      </w:pPr>
    </w:p>
    <w:p w:rsidR="00B33B35" w:rsidRDefault="00B33B35">
      <w:pPr>
        <w:rPr>
          <w:b/>
          <w:szCs w:val="24"/>
          <w:lang w:val="zh-CN"/>
        </w:rPr>
      </w:pPr>
      <w:r>
        <w:rPr>
          <w:b/>
          <w:szCs w:val="24"/>
          <w:lang w:val="zh-CN"/>
        </w:rPr>
        <w:br w:type="page"/>
      </w:r>
    </w:p>
    <w:p w:rsidR="00194348" w:rsidRPr="000F2D84" w:rsidRDefault="00194348" w:rsidP="004A03DA">
      <w:pPr>
        <w:spacing w:line="260" w:lineRule="auto"/>
        <w:rPr>
          <w:b/>
          <w:szCs w:val="24"/>
        </w:rPr>
      </w:pPr>
      <w:r w:rsidRPr="000F2D84">
        <w:rPr>
          <w:rFonts w:hint="eastAsia"/>
          <w:b/>
          <w:szCs w:val="24"/>
          <w:lang w:val="zh-CN"/>
        </w:rPr>
        <w:lastRenderedPageBreak/>
        <w:t>编者按</w:t>
      </w:r>
    </w:p>
    <w:p w:rsidR="00194348" w:rsidRDefault="00194348" w:rsidP="004A03DA">
      <w:pPr>
        <w:spacing w:line="260" w:lineRule="auto"/>
        <w:rPr>
          <w:szCs w:val="24"/>
        </w:rPr>
      </w:pPr>
    </w:p>
    <w:p w:rsidR="00194348" w:rsidRDefault="00194348" w:rsidP="004A03DA">
      <w:pPr>
        <w:spacing w:line="260" w:lineRule="auto"/>
        <w:rPr>
          <w:szCs w:val="24"/>
        </w:rPr>
      </w:pPr>
      <w:r>
        <w:rPr>
          <w:rFonts w:ascii="Calibri" w:eastAsia="SimSun" w:hAnsi="Calibri" w:hint="eastAsia"/>
          <w:b/>
        </w:rPr>
        <w:t xml:space="preserve">2018 </w:t>
      </w:r>
      <w:r>
        <w:rPr>
          <w:rFonts w:ascii="Calibri" w:eastAsia="SimSun" w:hAnsi="Calibri" w:hint="eastAsia"/>
          <w:b/>
        </w:rPr>
        <w:t>年</w:t>
      </w:r>
      <w:r>
        <w:rPr>
          <w:rFonts w:ascii="Calibri" w:eastAsia="SimSun" w:hAnsi="Calibri" w:hint="eastAsia"/>
          <w:b/>
        </w:rPr>
        <w:t xml:space="preserve"> 10 </w:t>
      </w:r>
      <w:r>
        <w:rPr>
          <w:rFonts w:ascii="Calibri" w:eastAsia="SimSun" w:hAnsi="Calibri" w:hint="eastAsia"/>
          <w:b/>
        </w:rPr>
        <w:t>月</w:t>
      </w:r>
      <w:r>
        <w:rPr>
          <w:rFonts w:ascii="Calibri" w:eastAsia="SimSun" w:hAnsi="Calibri" w:hint="eastAsia"/>
          <w:b/>
        </w:rPr>
        <w:t xml:space="preserve"> 2 </w:t>
      </w:r>
      <w:r>
        <w:rPr>
          <w:rFonts w:ascii="Calibri" w:eastAsia="SimSun" w:hAnsi="Calibri" w:hint="eastAsia"/>
          <w:b/>
        </w:rPr>
        <w:t>日发布</w:t>
      </w:r>
    </w:p>
    <w:p w:rsidR="00194348" w:rsidRDefault="00194348" w:rsidP="004A03DA">
      <w:pPr>
        <w:spacing w:line="260" w:lineRule="auto"/>
        <w:rPr>
          <w:szCs w:val="24"/>
        </w:rPr>
      </w:pPr>
    </w:p>
    <w:p w:rsidR="00194348" w:rsidRPr="000F2D84" w:rsidRDefault="00194348" w:rsidP="004A03DA">
      <w:pPr>
        <w:spacing w:line="260" w:lineRule="auto"/>
        <w:rPr>
          <w:szCs w:val="24"/>
        </w:rPr>
      </w:pPr>
      <w:r w:rsidRPr="000F2D84">
        <w:rPr>
          <w:rFonts w:hint="eastAsia"/>
          <w:szCs w:val="24"/>
          <w:lang w:val="zh-CN"/>
        </w:rPr>
        <w:t>所有后续问询</w:t>
      </w:r>
      <w:r w:rsidRPr="000F2D84">
        <w:rPr>
          <w:rFonts w:hint="eastAsia"/>
          <w:szCs w:val="24"/>
        </w:rPr>
        <w:t>，</w:t>
      </w:r>
      <w:r w:rsidRPr="000F2D84">
        <w:rPr>
          <w:rFonts w:hint="eastAsia"/>
          <w:szCs w:val="24"/>
          <w:lang w:val="zh-CN"/>
        </w:rPr>
        <w:t>请联系以下人员</w:t>
      </w:r>
      <w:r w:rsidRPr="000F2D84">
        <w:rPr>
          <w:rFonts w:hint="eastAsia"/>
          <w:szCs w:val="24"/>
        </w:rPr>
        <w:t>：</w:t>
      </w:r>
      <w:r w:rsidRPr="000F2D84">
        <w:rPr>
          <w:szCs w:val="24"/>
        </w:rPr>
        <w:tab/>
      </w:r>
    </w:p>
    <w:p w:rsidR="00194348" w:rsidRDefault="00194348" w:rsidP="004A03DA">
      <w:pPr>
        <w:rPr>
          <w:noProof/>
          <w:szCs w:val="24"/>
        </w:rPr>
      </w:pPr>
    </w:p>
    <w:p w:rsidR="00194348" w:rsidRPr="000F2D84" w:rsidRDefault="00194348" w:rsidP="004A03DA">
      <w:pPr>
        <w:rPr>
          <w:szCs w:val="24"/>
        </w:rPr>
      </w:pPr>
      <w:r w:rsidRPr="000F2D84">
        <w:rPr>
          <w:noProof/>
          <w:szCs w:val="24"/>
        </w:rPr>
        <w:t>Nigel May</w:t>
      </w:r>
      <w:r w:rsidRPr="000F2D84">
        <w:rPr>
          <w:szCs w:val="24"/>
        </w:rPr>
        <w:tab/>
      </w:r>
    </w:p>
    <w:p w:rsidR="00194348" w:rsidRPr="000F2D84" w:rsidRDefault="00194348" w:rsidP="004A03DA">
      <w:pPr>
        <w:rPr>
          <w:szCs w:val="24"/>
        </w:rPr>
      </w:pPr>
      <w:r w:rsidRPr="000F2D84">
        <w:rPr>
          <w:noProof/>
          <w:szCs w:val="24"/>
        </w:rPr>
        <w:t>Parkfield Communications Limited</w:t>
      </w:r>
    </w:p>
    <w:p w:rsidR="00194348" w:rsidRPr="000F2D84" w:rsidRDefault="00194348" w:rsidP="004A03DA">
      <w:pPr>
        <w:rPr>
          <w:szCs w:val="24"/>
        </w:rPr>
      </w:pPr>
      <w:r w:rsidRPr="000F2D84">
        <w:rPr>
          <w:noProof/>
          <w:szCs w:val="24"/>
        </w:rPr>
        <w:t>Parkfield House</w:t>
      </w:r>
    </w:p>
    <w:p w:rsidR="00194348" w:rsidRPr="000F2D84" w:rsidRDefault="00194348" w:rsidP="004A03DA">
      <w:pPr>
        <w:rPr>
          <w:szCs w:val="24"/>
        </w:rPr>
      </w:pPr>
      <w:r w:rsidRPr="000F2D84">
        <w:rPr>
          <w:noProof/>
          <w:szCs w:val="24"/>
        </w:rPr>
        <w:t>Damerham</w:t>
      </w:r>
    </w:p>
    <w:p w:rsidR="00194348" w:rsidRPr="000F2D84" w:rsidRDefault="00194348" w:rsidP="004A03DA">
      <w:pPr>
        <w:rPr>
          <w:szCs w:val="24"/>
        </w:rPr>
      </w:pPr>
      <w:r w:rsidRPr="000F2D84">
        <w:rPr>
          <w:noProof/>
          <w:szCs w:val="24"/>
        </w:rPr>
        <w:t>SP6 3HQ</w:t>
      </w:r>
    </w:p>
    <w:p w:rsidR="00194348" w:rsidRPr="000F2D84" w:rsidRDefault="00194348" w:rsidP="004A03DA">
      <w:pPr>
        <w:rPr>
          <w:szCs w:val="24"/>
        </w:rPr>
      </w:pPr>
      <w:r w:rsidRPr="000F2D84">
        <w:rPr>
          <w:noProof/>
          <w:szCs w:val="24"/>
        </w:rPr>
        <w:t>Great Britain</w:t>
      </w:r>
    </w:p>
    <w:p w:rsidR="00194348" w:rsidRPr="000F2D84" w:rsidRDefault="00194348" w:rsidP="004A03DA">
      <w:pPr>
        <w:spacing w:line="260" w:lineRule="auto"/>
        <w:rPr>
          <w:szCs w:val="24"/>
        </w:rPr>
      </w:pPr>
      <w:r w:rsidRPr="000F2D84">
        <w:rPr>
          <w:rFonts w:hint="eastAsia"/>
          <w:szCs w:val="24"/>
          <w:lang w:val="zh-CN"/>
        </w:rPr>
        <w:t>电话</w:t>
      </w:r>
      <w:r w:rsidRPr="000F2D84">
        <w:rPr>
          <w:rFonts w:hint="eastAsia"/>
          <w:szCs w:val="24"/>
        </w:rPr>
        <w:t>：</w:t>
      </w:r>
      <w:r w:rsidRPr="000F2D84">
        <w:rPr>
          <w:szCs w:val="24"/>
        </w:rPr>
        <w:t xml:space="preserve"> + 44 (0)1725 518321</w:t>
      </w:r>
    </w:p>
    <w:p w:rsidR="00194348" w:rsidRPr="004A03DA" w:rsidRDefault="00194348" w:rsidP="004A03DA">
      <w:pPr>
        <w:spacing w:line="260" w:lineRule="auto"/>
        <w:rPr>
          <w:szCs w:val="24"/>
        </w:rPr>
      </w:pPr>
      <w:r w:rsidRPr="000F2D84">
        <w:rPr>
          <w:rFonts w:hint="eastAsia"/>
          <w:szCs w:val="24"/>
          <w:lang w:val="zh-CN"/>
        </w:rPr>
        <w:t>传真</w:t>
      </w:r>
      <w:r w:rsidRPr="000F2D84">
        <w:rPr>
          <w:rFonts w:hint="eastAsia"/>
          <w:szCs w:val="24"/>
        </w:rPr>
        <w:t>：</w:t>
      </w:r>
      <w:r w:rsidRPr="004A03DA">
        <w:rPr>
          <w:szCs w:val="24"/>
        </w:rPr>
        <w:t xml:space="preserve"> + 44 (0)1725 518378</w:t>
      </w:r>
    </w:p>
    <w:p w:rsidR="00194348" w:rsidRPr="004A03DA" w:rsidRDefault="00194348" w:rsidP="004A03DA">
      <w:pPr>
        <w:rPr>
          <w:szCs w:val="24"/>
        </w:rPr>
      </w:pPr>
      <w:hyperlink r:id="rId16" w:history="1">
        <w:r w:rsidRPr="00F361C9">
          <w:rPr>
            <w:rStyle w:val="Hyperlink"/>
            <w:rFonts w:cs="Calibri"/>
            <w:noProof/>
            <w:szCs w:val="24"/>
          </w:rPr>
          <w:t>nigel.may@parkfield.co.uk</w:t>
        </w:r>
      </w:hyperlink>
      <w:r>
        <w:rPr>
          <w:noProof/>
          <w:szCs w:val="24"/>
        </w:rPr>
        <w:t xml:space="preserve"> </w:t>
      </w:r>
    </w:p>
    <w:p w:rsidR="00194348" w:rsidRPr="000F2D84" w:rsidRDefault="00194348" w:rsidP="004A03DA">
      <w:pPr>
        <w:rPr>
          <w:szCs w:val="24"/>
        </w:rPr>
      </w:pPr>
      <w:hyperlink r:id="rId17" w:history="1">
        <w:r w:rsidRPr="00F361C9">
          <w:rPr>
            <w:rStyle w:val="Hyperlink"/>
            <w:rFonts w:cs="Calibri"/>
            <w:noProof/>
            <w:szCs w:val="24"/>
          </w:rPr>
          <w:t>parkfield.co.uk</w:t>
        </w:r>
      </w:hyperlink>
      <w:r>
        <w:rPr>
          <w:noProof/>
          <w:szCs w:val="24"/>
        </w:rPr>
        <w:t xml:space="preserve"> </w:t>
      </w:r>
    </w:p>
    <w:p w:rsidR="00194348" w:rsidRPr="000F2D84" w:rsidRDefault="00194348" w:rsidP="004A03DA">
      <w:pPr>
        <w:spacing w:line="260" w:lineRule="auto"/>
        <w:rPr>
          <w:szCs w:val="24"/>
        </w:rPr>
      </w:pPr>
      <w:r>
        <w:rPr>
          <w:szCs w:val="24"/>
        </w:rPr>
        <w:br/>
        <w:t>E2S</w:t>
      </w:r>
      <w:r>
        <w:rPr>
          <w:rFonts w:hint="eastAsia"/>
          <w:szCs w:val="24"/>
          <w:lang w:val="zh-CN"/>
        </w:rPr>
        <w:t>是世界领先的</w:t>
      </w:r>
      <w:r w:rsidRPr="000F2D84">
        <w:rPr>
          <w:rFonts w:hint="eastAsia"/>
          <w:szCs w:val="24"/>
          <w:lang w:val="zh-CN"/>
        </w:rPr>
        <w:t>独立信号产品制造商</w:t>
      </w:r>
      <w:r w:rsidRPr="000F2D84">
        <w:rPr>
          <w:rFonts w:hint="eastAsia"/>
          <w:szCs w:val="24"/>
        </w:rPr>
        <w:t>，</w:t>
      </w:r>
      <w:r w:rsidRPr="000F2D84">
        <w:rPr>
          <w:rFonts w:hint="eastAsia"/>
          <w:szCs w:val="24"/>
          <w:lang w:val="zh-CN"/>
        </w:rPr>
        <w:t>设计并制造全套工业环境、海洋环境以及危险区域环境用信号产品。公司总部位于英格兰西伦敦。</w:t>
      </w:r>
      <w:r>
        <w:rPr>
          <w:szCs w:val="24"/>
          <w:lang w:val="en-US"/>
        </w:rPr>
        <w:t>E2S</w:t>
      </w:r>
      <w:r w:rsidRPr="000F2D84">
        <w:rPr>
          <w:rFonts w:hint="eastAsia"/>
          <w:szCs w:val="24"/>
          <w:lang w:val="zh-CN"/>
        </w:rPr>
        <w:t>产品通过销售网络行销全球。经销商详情见公司网站。另外</w:t>
      </w:r>
      <w:r w:rsidRPr="000F2D84">
        <w:rPr>
          <w:rFonts w:hint="eastAsia"/>
          <w:szCs w:val="24"/>
          <w:lang w:val="en-US"/>
        </w:rPr>
        <w:t>，</w:t>
      </w:r>
      <w:r>
        <w:rPr>
          <w:szCs w:val="24"/>
          <w:lang w:val="en-US"/>
        </w:rPr>
        <w:t>E2S</w:t>
      </w:r>
      <w:r w:rsidRPr="000F2D84">
        <w:rPr>
          <w:rFonts w:hint="eastAsia"/>
          <w:szCs w:val="24"/>
          <w:lang w:val="zh-CN"/>
        </w:rPr>
        <w:t>在得克萨斯州休斯敦设有专门的经销中心</w:t>
      </w:r>
      <w:r w:rsidRPr="000F2D84">
        <w:rPr>
          <w:rFonts w:hint="eastAsia"/>
          <w:szCs w:val="24"/>
          <w:lang w:val="en-US"/>
        </w:rPr>
        <w:t>，</w:t>
      </w:r>
      <w:r w:rsidRPr="000F2D84">
        <w:rPr>
          <w:rFonts w:hint="eastAsia"/>
          <w:szCs w:val="24"/>
          <w:lang w:val="zh-CN"/>
        </w:rPr>
        <w:t>负责当地产品经销和技术支持。</w:t>
      </w:r>
    </w:p>
    <w:p w:rsidR="00194348" w:rsidRPr="000F2D84" w:rsidRDefault="00194348" w:rsidP="004A03DA">
      <w:pPr>
        <w:rPr>
          <w:szCs w:val="24"/>
        </w:rPr>
      </w:pPr>
      <w:r w:rsidRPr="000F2D84">
        <w:rPr>
          <w:noProof/>
          <w:szCs w:val="24"/>
        </w:rPr>
        <w:t>E2S Warning Signals</w:t>
      </w:r>
    </w:p>
    <w:p w:rsidR="00194348" w:rsidRPr="000F2D84" w:rsidRDefault="00194348" w:rsidP="004A03DA">
      <w:pPr>
        <w:rPr>
          <w:szCs w:val="24"/>
        </w:rPr>
      </w:pPr>
      <w:r w:rsidRPr="000F2D84">
        <w:rPr>
          <w:noProof/>
          <w:szCs w:val="24"/>
        </w:rPr>
        <w:t>Impress House</w:t>
      </w:r>
    </w:p>
    <w:p w:rsidR="00194348" w:rsidRPr="000F2D84" w:rsidRDefault="00194348" w:rsidP="004A03DA">
      <w:pPr>
        <w:rPr>
          <w:szCs w:val="24"/>
        </w:rPr>
      </w:pPr>
      <w:r w:rsidRPr="000F2D84">
        <w:rPr>
          <w:noProof/>
          <w:szCs w:val="24"/>
        </w:rPr>
        <w:t>Mansell Road</w:t>
      </w:r>
    </w:p>
    <w:p w:rsidR="00194348" w:rsidRPr="000F2D84" w:rsidRDefault="00194348" w:rsidP="004A03DA">
      <w:pPr>
        <w:rPr>
          <w:szCs w:val="24"/>
        </w:rPr>
      </w:pPr>
      <w:r w:rsidRPr="000F2D84">
        <w:rPr>
          <w:noProof/>
          <w:szCs w:val="24"/>
        </w:rPr>
        <w:t>London</w:t>
      </w:r>
    </w:p>
    <w:p w:rsidR="00194348" w:rsidRPr="000F2D84" w:rsidRDefault="00194348" w:rsidP="004A03DA">
      <w:pPr>
        <w:rPr>
          <w:szCs w:val="24"/>
        </w:rPr>
      </w:pPr>
      <w:r w:rsidRPr="000F2D84">
        <w:rPr>
          <w:noProof/>
          <w:szCs w:val="24"/>
        </w:rPr>
        <w:t>W3 7QH</w:t>
      </w:r>
    </w:p>
    <w:p w:rsidR="00194348" w:rsidRPr="000F2D84" w:rsidRDefault="00194348" w:rsidP="004A03DA">
      <w:pPr>
        <w:rPr>
          <w:szCs w:val="24"/>
        </w:rPr>
      </w:pPr>
      <w:r w:rsidRPr="000F2D84">
        <w:rPr>
          <w:noProof/>
          <w:szCs w:val="24"/>
        </w:rPr>
        <w:t>Great Britain</w:t>
      </w:r>
    </w:p>
    <w:p w:rsidR="00194348" w:rsidRPr="000F2D84" w:rsidRDefault="00194348" w:rsidP="004A03DA">
      <w:pPr>
        <w:spacing w:line="260" w:lineRule="auto"/>
        <w:rPr>
          <w:szCs w:val="24"/>
        </w:rPr>
      </w:pPr>
      <w:r w:rsidRPr="000F2D84">
        <w:rPr>
          <w:rFonts w:hint="eastAsia"/>
          <w:szCs w:val="24"/>
          <w:lang w:val="zh-CN"/>
        </w:rPr>
        <w:t>电话：</w:t>
      </w:r>
      <w:r w:rsidRPr="000F2D84">
        <w:rPr>
          <w:szCs w:val="24"/>
        </w:rPr>
        <w:t xml:space="preserve"> + 44 (0)20 8743 8880</w:t>
      </w:r>
    </w:p>
    <w:p w:rsidR="00194348" w:rsidRPr="000F2D84" w:rsidRDefault="00194348" w:rsidP="004A03DA">
      <w:pPr>
        <w:spacing w:line="260" w:lineRule="auto"/>
        <w:rPr>
          <w:szCs w:val="24"/>
        </w:rPr>
      </w:pPr>
      <w:r w:rsidRPr="000F2D84">
        <w:rPr>
          <w:rFonts w:hint="eastAsia"/>
          <w:szCs w:val="24"/>
          <w:lang w:val="zh-CN"/>
        </w:rPr>
        <w:t>传真：</w:t>
      </w:r>
      <w:r w:rsidRPr="000F2D84">
        <w:rPr>
          <w:szCs w:val="24"/>
        </w:rPr>
        <w:t xml:space="preserve"> + 44 (0)20 8740 4200</w:t>
      </w:r>
    </w:p>
    <w:p w:rsidR="00194348" w:rsidRPr="000F2D84" w:rsidRDefault="00194348" w:rsidP="004A03DA">
      <w:pPr>
        <w:rPr>
          <w:szCs w:val="24"/>
        </w:rPr>
      </w:pPr>
      <w:hyperlink r:id="rId18" w:history="1">
        <w:r w:rsidRPr="00F361C9">
          <w:rPr>
            <w:rStyle w:val="Hyperlink"/>
            <w:rFonts w:cs="Calibri"/>
            <w:noProof/>
            <w:szCs w:val="24"/>
          </w:rPr>
          <w:t>sales@e2s.com</w:t>
        </w:r>
      </w:hyperlink>
      <w:r>
        <w:rPr>
          <w:noProof/>
          <w:szCs w:val="24"/>
        </w:rPr>
        <w:t xml:space="preserve"> </w:t>
      </w:r>
    </w:p>
    <w:p w:rsidR="00194348" w:rsidRPr="000F2D84" w:rsidRDefault="00194348" w:rsidP="004A03DA">
      <w:pPr>
        <w:tabs>
          <w:tab w:val="left" w:pos="851"/>
          <w:tab w:val="right" w:pos="9072"/>
        </w:tabs>
        <w:rPr>
          <w:szCs w:val="24"/>
        </w:rPr>
      </w:pPr>
      <w:hyperlink r:id="rId19" w:history="1">
        <w:r w:rsidRPr="000F2D84">
          <w:rPr>
            <w:rStyle w:val="Hyperlink"/>
            <w:noProof/>
            <w:szCs w:val="24"/>
          </w:rPr>
          <w:t>e2s.com</w:t>
        </w:r>
      </w:hyperlink>
    </w:p>
    <w:p w:rsidR="00194348" w:rsidRPr="004A03DA" w:rsidRDefault="00194348" w:rsidP="004A03DA"/>
    <w:p w:rsidR="00194348" w:rsidRPr="000B5C38" w:rsidRDefault="00194348" w:rsidP="00194348">
      <w:pPr>
        <w:tabs>
          <w:tab w:val="left" w:pos="851"/>
          <w:tab w:val="right" w:pos="9072"/>
        </w:tabs>
        <w:rPr>
          <w:b/>
        </w:rPr>
      </w:pPr>
    </w:p>
    <w:p w:rsidR="00950125" w:rsidRDefault="00950125" w:rsidP="00431BB0">
      <w:pPr>
        <w:tabs>
          <w:tab w:val="left" w:pos="851"/>
          <w:tab w:val="right" w:pos="9072"/>
        </w:tabs>
      </w:pPr>
    </w:p>
    <w:sectPr w:rsidR="00950125" w:rsidSect="00194348">
      <w:pgSz w:w="11906" w:h="16838" w:code="9"/>
      <w:pgMar w:top="1418"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2E9" w:rsidRDefault="007052E9" w:rsidP="00194348">
      <w:r>
        <w:separator/>
      </w:r>
    </w:p>
  </w:endnote>
  <w:endnote w:type="continuationSeparator" w:id="0">
    <w:p w:rsidR="007052E9" w:rsidRDefault="007052E9" w:rsidP="001943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NewsGot-Li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2E9" w:rsidRDefault="007052E9" w:rsidP="00194348">
      <w:r>
        <w:separator/>
      </w:r>
    </w:p>
  </w:footnote>
  <w:footnote w:type="continuationSeparator" w:id="0">
    <w:p w:rsidR="007052E9" w:rsidRDefault="007052E9" w:rsidP="001943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194348"/>
    <w:rsid w:val="00194348"/>
    <w:rsid w:val="00230369"/>
    <w:rsid w:val="003117D9"/>
    <w:rsid w:val="00431BB0"/>
    <w:rsid w:val="004A3471"/>
    <w:rsid w:val="005B335D"/>
    <w:rsid w:val="005C73C1"/>
    <w:rsid w:val="007052E9"/>
    <w:rsid w:val="00856272"/>
    <w:rsid w:val="008E34D4"/>
    <w:rsid w:val="00950125"/>
    <w:rsid w:val="00B33B35"/>
    <w:rsid w:val="00D57A62"/>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348"/>
    <w:rPr>
      <w:color w:val="0000FF" w:themeColor="hyperlink"/>
      <w:u w:val="single"/>
    </w:rPr>
  </w:style>
  <w:style w:type="paragraph" w:styleId="Header">
    <w:name w:val="header"/>
    <w:basedOn w:val="Normal"/>
    <w:link w:val="HeaderChar"/>
    <w:uiPriority w:val="99"/>
    <w:unhideWhenUsed/>
    <w:rsid w:val="00194348"/>
    <w:pPr>
      <w:tabs>
        <w:tab w:val="center" w:pos="4703"/>
        <w:tab w:val="right" w:pos="9406"/>
      </w:tabs>
    </w:pPr>
  </w:style>
  <w:style w:type="character" w:customStyle="1" w:styleId="HeaderChar">
    <w:name w:val="Header Char"/>
    <w:basedOn w:val="DefaultParagraphFont"/>
    <w:link w:val="Header"/>
    <w:uiPriority w:val="99"/>
    <w:rsid w:val="00194348"/>
  </w:style>
  <w:style w:type="paragraph" w:styleId="Footer">
    <w:name w:val="footer"/>
    <w:basedOn w:val="Normal"/>
    <w:link w:val="FooterChar"/>
    <w:uiPriority w:val="99"/>
    <w:unhideWhenUsed/>
    <w:rsid w:val="00194348"/>
    <w:pPr>
      <w:tabs>
        <w:tab w:val="center" w:pos="4703"/>
        <w:tab w:val="right" w:pos="9406"/>
      </w:tabs>
    </w:pPr>
  </w:style>
  <w:style w:type="character" w:customStyle="1" w:styleId="FooterChar">
    <w:name w:val="Footer Char"/>
    <w:basedOn w:val="DefaultParagraphFont"/>
    <w:link w:val="Footer"/>
    <w:uiPriority w:val="99"/>
    <w:rsid w:val="001943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adipec18-cn.docx" TargetMode="External"/><Relationship Id="rId13" Type="http://schemas.openxmlformats.org/officeDocument/2006/relationships/hyperlink" Target="http://www.e2s.com/products/range/d2x" TargetMode="External"/><Relationship Id="rId18" Type="http://schemas.openxmlformats.org/officeDocument/2006/relationships/hyperlink" Target="mailto:sales@e2s.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parkfield.co.uk/e2s/adipec18-print.jpg" TargetMode="External"/><Relationship Id="rId12" Type="http://schemas.openxmlformats.org/officeDocument/2006/relationships/hyperlink" Target="http://www.e2s.com/products/range/d1x" TargetMode="External"/><Relationship Id="rId17" Type="http://schemas.openxmlformats.org/officeDocument/2006/relationships/hyperlink" Target="http://www.parkfield.co.uk" TargetMode="External"/><Relationship Id="rId2" Type="http://schemas.openxmlformats.org/officeDocument/2006/relationships/settings" Target="settings.xml"/><Relationship Id="rId16" Type="http://schemas.openxmlformats.org/officeDocument/2006/relationships/hyperlink" Target="mailto:nigel.may@parkfield.co.u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2s.com/products/range/gnex" TargetMode="External"/><Relationship Id="rId5" Type="http://schemas.openxmlformats.org/officeDocument/2006/relationships/endnotes" Target="endnotes.xml"/><Relationship Id="rId15" Type="http://schemas.openxmlformats.org/officeDocument/2006/relationships/hyperlink" Target="http://www.e2s.com/products/range/d1x" TargetMode="External"/><Relationship Id="rId10" Type="http://schemas.openxmlformats.org/officeDocument/2006/relationships/hyperlink" Target="http://www.e2s.com/products/range/d2x" TargetMode="External"/><Relationship Id="rId19" Type="http://schemas.openxmlformats.org/officeDocument/2006/relationships/hyperlink" Target="http://www.e2s.com" TargetMode="External"/><Relationship Id="rId4" Type="http://schemas.openxmlformats.org/officeDocument/2006/relationships/footnotes" Target="footnotes.xml"/><Relationship Id="rId9" Type="http://schemas.openxmlformats.org/officeDocument/2006/relationships/hyperlink" Target="http://www.parkfield.co.uk/e2s/" TargetMode="External"/><Relationship Id="rId14" Type="http://schemas.openxmlformats.org/officeDocument/2006/relationships/hyperlink" Target="http://www.e2s.com/products/range/gn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2018-09-26T12:30:00Z</dcterms:created>
  <dcterms:modified xsi:type="dcterms:W3CDTF">2018-09-26T12:31:00Z</dcterms:modified>
</cp:coreProperties>
</file>