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left" w:pos="851"/>
          <w:tab w:val="right" w:pos="9072"/>
        </w:tabs>
        <w:spacing w:after="0" w:line="240" w:lineRule="auto"/>
        <w:rPr>
          <w:rFonts w:ascii="MingLiU" w:eastAsia="MingLiU" w:hAnsi="MingLiU" w:cs="SimSun"/>
          <w:b/>
          <w:bCs/>
          <w:color w:val="C00000"/>
          <w:sz w:val="48"/>
          <w:szCs w:val="48"/>
        </w:rPr>
      </w:pPr>
      <w:r>
        <w:rPr>
          <w:rFonts w:ascii="MingLiU" w:eastAsia="MingLiU" w:hAnsi="MingLiU" w:cs="SimSun"/>
          <w:b/>
          <w:bCs/>
          <w:color w:val="C00000"/>
          <w:sz w:val="50"/>
          <w:szCs w:val="50"/>
        </w:rPr>
        <w:t>新闻资料</w:t>
      </w:r>
      <w:r>
        <w:rPr>
          <w:rFonts w:ascii="MingLiU" w:eastAsia="MingLiU" w:hAnsi="MingLiU" w:cs="SimSun"/>
          <w:b/>
          <w:bCs/>
          <w:color w:val="C00000"/>
          <w:sz w:val="48"/>
          <w:szCs w:val="48"/>
        </w:rPr>
        <w:t xml:space="preserve"> </w:t>
      </w:r>
      <w:r>
        <w:rPr>
          <w:rFonts w:ascii="MingLiU" w:eastAsia="MingLiU" w:hAnsi="MingLiU" w:cs="SimSun"/>
          <w:b/>
          <w:bCs/>
          <w:color w:val="C00000"/>
          <w:sz w:val="48"/>
          <w:szCs w:val="48"/>
        </w:rPr>
        <w:tab/>
      </w:r>
    </w:p>
    <w:p>
      <w:pPr>
        <w:spacing w:after="0" w:line="240" w:lineRule="auto"/>
      </w:pPr>
      <w:r>
        <w:rPr>
          <w:rFonts w:ascii="MingLiU" w:eastAsia="MingLiU" w:hAnsi="MingLiU" w:cs="SimSun"/>
          <w:bCs/>
        </w:rPr>
        <w:t xml:space="preserve">要下载 300dpi 打印质量图片，请访问 </w:t>
      </w:r>
      <w:hyperlink r:id="rId6">
        <w:r>
          <w:rPr>
            <w:rStyle w:val="InternetLink"/>
            <w:rFonts w:ascii="MingLiU" w:eastAsia="MingLiU" w:hAnsi="MingLiU" w:cs="SimSun"/>
            <w:bCs/>
          </w:rPr>
          <w:t>parkfield.co.uk/e2s/adipec19-print.jpg</w:t>
        </w:r>
      </w:hyperlink>
    </w:p>
    <w:p>
      <w:pPr>
        <w:spacing w:after="0" w:line="240" w:lineRule="auto"/>
      </w:pPr>
      <w:r>
        <w:rPr>
          <w:rFonts w:ascii="MingLiU" w:eastAsia="MingLiU" w:hAnsi="MingLiU" w:cs="SimSun"/>
          <w:bCs/>
        </w:rPr>
        <w:t xml:space="preserve">要下载 Word 格式文章，请访问 </w:t>
      </w:r>
      <w:hyperlink r:id="rId7">
        <w:r>
          <w:rPr>
            <w:rStyle w:val="InternetLink"/>
            <w:rFonts w:ascii="MingLiU" w:eastAsia="MingLiU" w:hAnsi="MingLiU" w:cs="SimSun"/>
            <w:bCs/>
          </w:rPr>
          <w:t>parkfield.co.uk/e2s/adipec19-cn.docx</w:t>
        </w:r>
      </w:hyperlink>
    </w:p>
    <w:p>
      <w:pPr>
        <w:tabs>
          <w:tab w:val="left" w:pos="851"/>
          <w:tab w:val="right" w:pos="9072"/>
        </w:tabs>
        <w:spacing w:after="0" w:line="240" w:lineRule="auto"/>
        <w:rPr>
          <w:b/>
          <w:color w:val="000000" w:themeColor="text1"/>
        </w:rPr>
      </w:pPr>
      <w:r>
        <w:rPr>
          <w:rFonts w:ascii="MingLiU" w:eastAsia="MingLiU" w:hAnsi="MingLiU" w:cs="SimSun"/>
          <w:bCs/>
        </w:rPr>
        <w:t xml:space="preserve">要查看全部 E2S 新闻资料，请访问 </w:t>
      </w:r>
      <w:hyperlink r:id="rId8">
        <w:bookmarkStart w:id="0" w:name="_GoBack"/>
        <w:bookmarkEnd w:id="0"/>
        <w:r>
          <w:rPr>
            <w:rStyle w:val="InternetLink"/>
            <w:rFonts w:ascii="MingLiU" w:eastAsia="MingLiU" w:hAnsi="MingLiU" w:cs="SimSun"/>
            <w:bCs/>
          </w:rPr>
          <w:t>parkfield.co.uk/e2s/</w:t>
        </w:r>
      </w:hyperlink>
      <w:r>
        <w:rPr>
          <w:rFonts w:ascii="MingLiU" w:eastAsia="MingLiU" w:hAnsi="MingLiU"/>
        </w:rPr>
        <w:br/>
      </w:r>
      <w:r>
        <w:rPr>
          <w:rFonts w:ascii="MingLiU" w:eastAsia="MingLiU" w:hAnsi="MingLiU"/>
        </w:rPr>
        <w:br/>
      </w:r>
      <w:r>
        <w:rPr>
          <w:rFonts w:hint="eastAsia"/>
          <w:b/>
          <w:color w:val="000000" w:themeColor="text1"/>
        </w:rPr>
        <w:t xml:space="preserve">E2S </w:t>
      </w:r>
      <w:r>
        <w:rPr>
          <w:rFonts w:hint="eastAsia"/>
          <w:b/>
          <w:color w:val="000000" w:themeColor="text1"/>
        </w:rPr>
        <w:t>将在阿布扎比国际石油天然气展览会展示危险区域专用集成报警设备组件</w:t>
      </w:r>
    </w:p>
    <w:p>
      <w:pPr>
        <w:tabs>
          <w:tab w:val="left" w:pos="851"/>
          <w:tab w:val="right" w:pos="9072"/>
        </w:tabs>
        <w:spacing w:after="0" w:line="240" w:lineRule="auto"/>
        <w:jc w:val="center"/>
        <w:rPr>
          <w:b/>
          <w:color w:val="000000" w:themeColor="text1"/>
        </w:rPr>
      </w:pPr>
    </w:p>
    <w:p>
      <w:pPr>
        <w:tabs>
          <w:tab w:val="left" w:pos="851"/>
          <w:tab w:val="right" w:pos="9072"/>
        </w:tabs>
        <w:spacing w:after="0" w:line="240" w:lineRule="auto"/>
        <w:rPr>
          <w:rFonts w:cs="Calibri"/>
          <w:color w:val="000000" w:themeColor="text1"/>
        </w:rPr>
      </w:pPr>
      <w:r>
        <w:rPr>
          <w:rFonts w:hint="eastAsia"/>
          <w:color w:val="000000" w:themeColor="text1"/>
        </w:rPr>
        <w:t xml:space="preserve">E2S Warning Signals </w:t>
      </w:r>
      <w:r>
        <w:rPr>
          <w:rFonts w:hint="eastAsia"/>
          <w:color w:val="000000" w:themeColor="text1"/>
        </w:rPr>
        <w:t>将在于</w:t>
      </w:r>
      <w:r>
        <w:rPr>
          <w:rFonts w:hint="eastAsia"/>
          <w:color w:val="000000" w:themeColor="text1"/>
        </w:rPr>
        <w:t xml:space="preserve"> 11 </w:t>
      </w:r>
      <w:r>
        <w:rPr>
          <w:rFonts w:hint="eastAsia"/>
          <w:color w:val="000000" w:themeColor="text1"/>
        </w:rPr>
        <w:t>月</w:t>
      </w:r>
      <w:r>
        <w:rPr>
          <w:rFonts w:hint="eastAsia"/>
          <w:color w:val="000000" w:themeColor="text1"/>
        </w:rPr>
        <w:t xml:space="preserve"> 11 </w:t>
      </w:r>
      <w:r>
        <w:rPr>
          <w:rFonts w:hint="eastAsia"/>
          <w:color w:val="000000" w:themeColor="text1"/>
        </w:rPr>
        <w:t>日至</w:t>
      </w:r>
      <w:r>
        <w:rPr>
          <w:rFonts w:hint="eastAsia"/>
          <w:color w:val="000000" w:themeColor="text1"/>
        </w:rPr>
        <w:t xml:space="preserve"> 14 </w:t>
      </w:r>
      <w:r>
        <w:rPr>
          <w:rFonts w:hint="eastAsia"/>
          <w:color w:val="000000" w:themeColor="text1"/>
        </w:rPr>
        <w:t>日在阿布扎比举行的国际石油天然气展览会</w:t>
      </w:r>
      <w:r>
        <w:rPr>
          <w:rFonts w:hint="eastAsia"/>
          <w:color w:val="000000" w:themeColor="text1"/>
        </w:rPr>
        <w:t xml:space="preserve"> 8 </w:t>
      </w:r>
      <w:r>
        <w:rPr>
          <w:rFonts w:hint="eastAsia"/>
          <w:color w:val="000000" w:themeColor="text1"/>
        </w:rPr>
        <w:t>号</w:t>
      </w:r>
      <w:r>
        <w:rPr>
          <w:rFonts w:hint="eastAsia"/>
          <w:color w:val="000000" w:themeColor="text1"/>
        </w:rPr>
        <w:t xml:space="preserve"> </w:t>
      </w:r>
      <w:r>
        <w:rPr>
          <w:rFonts w:hint="eastAsia"/>
          <w:color w:val="000000" w:themeColor="text1"/>
        </w:rPr>
        <w:t>馆</w:t>
      </w:r>
      <w:r>
        <w:rPr>
          <w:rFonts w:hint="eastAsia"/>
          <w:color w:val="000000" w:themeColor="text1"/>
        </w:rPr>
        <w:t xml:space="preserve"> 8620 </w:t>
      </w:r>
      <w:r>
        <w:rPr>
          <w:rFonts w:hint="eastAsia"/>
          <w:color w:val="000000" w:themeColor="text1"/>
        </w:rPr>
        <w:t>展位上展示其新系列的集成信号组件。</w:t>
      </w:r>
      <w:r>
        <w:rPr>
          <w:rFonts w:hint="eastAsia"/>
          <w:color w:val="000000" w:themeColor="text1"/>
        </w:rPr>
        <w:t xml:space="preserve">E2S </w:t>
      </w:r>
      <w:r>
        <w:rPr>
          <w:rFonts w:hint="eastAsia"/>
          <w:color w:val="000000" w:themeColor="text1"/>
        </w:rPr>
        <w:t>新系列产品为系统设计师和安装人员提供预配置解决方案，在消除现场组装作业相关成本的同时保证设备之间的连接和布线符合相关危险区域的许可要求，并确保所有信号均经过充分测试和认证。</w:t>
      </w:r>
    </w:p>
    <w:p>
      <w:pPr>
        <w:tabs>
          <w:tab w:val="left" w:pos="851"/>
          <w:tab w:val="right" w:pos="9072"/>
        </w:tabs>
        <w:spacing w:after="0" w:line="240" w:lineRule="auto"/>
        <w:rPr>
          <w:rFonts w:cs="Calibri"/>
          <w:color w:val="000000" w:themeColor="text1"/>
        </w:rPr>
      </w:pPr>
    </w:p>
    <w:p>
      <w:pPr>
        <w:tabs>
          <w:tab w:val="left" w:pos="851"/>
          <w:tab w:val="right" w:pos="9072"/>
        </w:tabs>
        <w:spacing w:after="0" w:line="240" w:lineRule="auto"/>
        <w:rPr>
          <w:rFonts w:cs="Calibri"/>
          <w:color w:val="000000" w:themeColor="text1"/>
        </w:rPr>
      </w:pPr>
      <w:r>
        <w:rPr>
          <w:rFonts w:hint="eastAsia"/>
          <w:color w:val="000000" w:themeColor="text1"/>
        </w:rPr>
        <w:t>多达</w:t>
      </w:r>
      <w:r>
        <w:rPr>
          <w:rFonts w:hint="eastAsia"/>
          <w:color w:val="000000" w:themeColor="text1"/>
        </w:rPr>
        <w:t xml:space="preserve"> 7 </w:t>
      </w:r>
      <w:r>
        <w:rPr>
          <w:rFonts w:hint="eastAsia"/>
          <w:color w:val="000000" w:themeColor="text1"/>
        </w:rPr>
        <w:t>个设备的多重配置可发出在</w:t>
      </w:r>
      <w:r>
        <w:rPr>
          <w:rFonts w:hint="eastAsia"/>
          <w:color w:val="000000" w:themeColor="text1"/>
        </w:rPr>
        <w:t xml:space="preserve">I/II </w:t>
      </w:r>
      <w:r>
        <w:rPr>
          <w:rFonts w:hint="eastAsia"/>
          <w:color w:val="000000" w:themeColor="text1"/>
        </w:rPr>
        <w:t>等级</w:t>
      </w:r>
      <w:r>
        <w:rPr>
          <w:rFonts w:hint="eastAsia"/>
          <w:color w:val="000000" w:themeColor="text1"/>
        </w:rPr>
        <w:t xml:space="preserve"> 1</w:t>
      </w:r>
      <w:r>
        <w:rPr>
          <w:rFonts w:hint="eastAsia"/>
          <w:color w:val="000000" w:themeColor="text1"/>
        </w:rPr>
        <w:t>类别</w:t>
      </w:r>
      <w:r>
        <w:rPr>
          <w:rFonts w:hint="eastAsia"/>
          <w:color w:val="000000" w:themeColor="text1"/>
        </w:rPr>
        <w:t xml:space="preserve"> </w:t>
      </w:r>
      <w:r>
        <w:rPr>
          <w:rFonts w:hint="eastAsia"/>
          <w:color w:val="000000" w:themeColor="text1"/>
        </w:rPr>
        <w:t>和</w:t>
      </w:r>
      <w:r>
        <w:rPr>
          <w:rFonts w:hint="eastAsia"/>
          <w:color w:val="000000" w:themeColor="text1"/>
        </w:rPr>
        <w:t xml:space="preserve"> IECEx/ATEX 1 </w:t>
      </w:r>
      <w:r>
        <w:rPr>
          <w:rFonts w:hint="eastAsia"/>
          <w:color w:val="000000" w:themeColor="text1"/>
        </w:rPr>
        <w:t>区</w:t>
      </w:r>
      <w:r>
        <w:rPr>
          <w:rFonts w:hint="eastAsia"/>
          <w:color w:val="000000" w:themeColor="text1"/>
        </w:rPr>
        <w:t xml:space="preserve">/21 </w:t>
      </w:r>
      <w:r>
        <w:rPr>
          <w:rFonts w:hint="eastAsia"/>
          <w:color w:val="000000" w:themeColor="text1"/>
        </w:rPr>
        <w:t>区</w:t>
      </w:r>
      <w:r>
        <w:rPr>
          <w:rFonts w:hint="eastAsia"/>
          <w:color w:val="000000" w:themeColor="text1"/>
        </w:rPr>
        <w:t xml:space="preserve"> </w:t>
      </w:r>
      <w:r>
        <w:rPr>
          <w:rFonts w:hint="eastAsia"/>
          <w:color w:val="000000" w:themeColor="text1"/>
        </w:rPr>
        <w:t>环境中经认可的信号。</w:t>
      </w:r>
      <w:r>
        <w:rPr>
          <w:rFonts w:hint="eastAsia"/>
          <w:color w:val="000000" w:themeColor="text1"/>
        </w:rPr>
        <w:t>D1x</w:t>
      </w:r>
      <w:r>
        <w:rPr>
          <w:rFonts w:hint="eastAsia"/>
          <w:color w:val="000000" w:themeColor="text1"/>
        </w:rPr>
        <w:t>、</w:t>
      </w:r>
      <w:r>
        <w:rPr>
          <w:rFonts w:hint="eastAsia"/>
          <w:color w:val="000000" w:themeColor="text1"/>
        </w:rPr>
        <w:t xml:space="preserve">GNEx </w:t>
      </w:r>
      <w:r>
        <w:rPr>
          <w:rFonts w:hint="eastAsia"/>
          <w:color w:val="000000" w:themeColor="text1"/>
        </w:rPr>
        <w:t>和</w:t>
      </w:r>
      <w:r>
        <w:rPr>
          <w:rFonts w:hint="eastAsia"/>
          <w:color w:val="000000" w:themeColor="text1"/>
        </w:rPr>
        <w:t xml:space="preserve"> STEx </w:t>
      </w:r>
      <w:r>
        <w:rPr>
          <w:rFonts w:hint="eastAsia"/>
          <w:color w:val="000000" w:themeColor="text1"/>
        </w:rPr>
        <w:t>系列产品的外壳采用航海级铝、耐腐蚀</w:t>
      </w:r>
      <w:r>
        <w:rPr>
          <w:rFonts w:hint="eastAsia"/>
          <w:color w:val="000000" w:themeColor="text1"/>
        </w:rPr>
        <w:t xml:space="preserve"> GRP </w:t>
      </w:r>
      <w:r>
        <w:rPr>
          <w:rFonts w:hint="eastAsia"/>
          <w:color w:val="000000" w:themeColor="text1"/>
        </w:rPr>
        <w:t>或</w:t>
      </w:r>
      <w:r>
        <w:rPr>
          <w:rFonts w:hint="eastAsia"/>
          <w:color w:val="000000" w:themeColor="text1"/>
        </w:rPr>
        <w:t xml:space="preserve"> 316L </w:t>
      </w:r>
      <w:r>
        <w:rPr>
          <w:rFonts w:hint="eastAsia"/>
          <w:color w:val="000000" w:themeColor="text1"/>
        </w:rPr>
        <w:t>不锈钢制造而成，适用于任何环境。高功率</w:t>
      </w:r>
      <w:r>
        <w:rPr>
          <w:rFonts w:hint="eastAsia"/>
          <w:color w:val="000000" w:themeColor="text1"/>
        </w:rPr>
        <w:t xml:space="preserve"> LED </w:t>
      </w:r>
      <w:r>
        <w:rPr>
          <w:rFonts w:hint="eastAsia"/>
          <w:color w:val="000000" w:themeColor="text1"/>
        </w:rPr>
        <w:t>或氙气信标（或混合使用多种技术）的状态指示灯类型配置可以通过连接线套管组装在每个设备上进行密封，集成的电缆套管在最后一个信标中或接线盒中进行单点安装。镜头颜色有琥珀色、蓝色、透明、绿色、洋红色、红色和黄色。完整的视听信号装置还可配备带有闪光喇叭的多级高输出警报器或创新的</w:t>
      </w:r>
      <w:r>
        <w:rPr>
          <w:rFonts w:hint="eastAsia"/>
          <w:color w:val="000000" w:themeColor="text1"/>
        </w:rPr>
        <w:t xml:space="preserve"> E2S </w:t>
      </w:r>
      <w:r>
        <w:rPr>
          <w:rFonts w:hint="eastAsia"/>
          <w:color w:val="000000" w:themeColor="text1"/>
        </w:rPr>
        <w:t>全方位喇叭。</w:t>
      </w:r>
      <w:r>
        <w:rPr>
          <w:rFonts w:hint="eastAsia"/>
          <w:color w:val="000000" w:themeColor="text1"/>
        </w:rPr>
        <w:t xml:space="preserve"> </w:t>
      </w:r>
    </w:p>
    <w:p>
      <w:pPr>
        <w:tabs>
          <w:tab w:val="left" w:pos="851"/>
          <w:tab w:val="right" w:pos="9072"/>
        </w:tabs>
        <w:spacing w:after="0" w:line="240" w:lineRule="auto"/>
        <w:rPr>
          <w:rFonts w:cs="Calibri"/>
          <w:color w:val="000000" w:themeColor="text1"/>
        </w:rPr>
      </w:pPr>
    </w:p>
    <w:p>
      <w:pPr>
        <w:tabs>
          <w:tab w:val="left" w:pos="851"/>
          <w:tab w:val="right" w:pos="9072"/>
        </w:tabs>
        <w:spacing w:after="0" w:line="240" w:lineRule="auto"/>
        <w:rPr>
          <w:rFonts w:cs="Calibri"/>
          <w:color w:val="000000" w:themeColor="text1"/>
        </w:rPr>
      </w:pPr>
      <w:r>
        <w:rPr>
          <w:rFonts w:hint="eastAsia"/>
          <w:color w:val="000000" w:themeColor="text1"/>
        </w:rPr>
        <w:t>对于级别</w:t>
      </w:r>
      <w:r>
        <w:rPr>
          <w:rFonts w:hint="eastAsia"/>
          <w:color w:val="000000" w:themeColor="text1"/>
        </w:rPr>
        <w:t xml:space="preserve"> I/II </w:t>
      </w:r>
      <w:r>
        <w:rPr>
          <w:rFonts w:hint="eastAsia"/>
          <w:color w:val="000000" w:themeColor="text1"/>
        </w:rPr>
        <w:t>等级</w:t>
      </w:r>
      <w:r>
        <w:rPr>
          <w:rFonts w:hint="eastAsia"/>
          <w:color w:val="000000" w:themeColor="text1"/>
        </w:rPr>
        <w:t xml:space="preserve"> 2 </w:t>
      </w:r>
      <w:r>
        <w:rPr>
          <w:rFonts w:hint="eastAsia"/>
          <w:color w:val="000000" w:themeColor="text1"/>
        </w:rPr>
        <w:t>类别</w:t>
      </w:r>
      <w:r>
        <w:rPr>
          <w:rFonts w:hint="eastAsia"/>
          <w:color w:val="000000" w:themeColor="text1"/>
        </w:rPr>
        <w:t xml:space="preserve"> </w:t>
      </w:r>
      <w:r>
        <w:rPr>
          <w:rFonts w:hint="eastAsia"/>
          <w:color w:val="000000" w:themeColor="text1"/>
        </w:rPr>
        <w:t>和</w:t>
      </w:r>
      <w:r>
        <w:rPr>
          <w:rFonts w:hint="eastAsia"/>
          <w:color w:val="000000" w:themeColor="text1"/>
        </w:rPr>
        <w:t xml:space="preserve"> IECEx/ATEX 2 </w:t>
      </w:r>
      <w:r>
        <w:rPr>
          <w:rFonts w:hint="eastAsia"/>
          <w:color w:val="000000" w:themeColor="text1"/>
        </w:rPr>
        <w:t>区</w:t>
      </w:r>
      <w:r>
        <w:rPr>
          <w:rFonts w:hint="eastAsia"/>
          <w:color w:val="000000" w:themeColor="text1"/>
        </w:rPr>
        <w:t xml:space="preserve">/22 </w:t>
      </w:r>
      <w:r>
        <w:rPr>
          <w:rFonts w:hint="eastAsia"/>
          <w:color w:val="000000" w:themeColor="text1"/>
        </w:rPr>
        <w:t>区环境中的应用，</w:t>
      </w:r>
      <w:r>
        <w:rPr>
          <w:rFonts w:hint="eastAsia"/>
          <w:color w:val="000000" w:themeColor="text1"/>
        </w:rPr>
        <w:t xml:space="preserve">D2x </w:t>
      </w:r>
      <w:r>
        <w:rPr>
          <w:rFonts w:hint="eastAsia"/>
          <w:color w:val="000000" w:themeColor="text1"/>
        </w:rPr>
        <w:t>系列信标或带警报发声器的信标为多信号的发送提供紧凑且有效的解决方案。利用整体机械连接，</w:t>
      </w:r>
      <w:r>
        <w:rPr>
          <w:rFonts w:hint="eastAsia"/>
          <w:color w:val="000000" w:themeColor="text1"/>
        </w:rPr>
        <w:t xml:space="preserve">D2x </w:t>
      </w:r>
      <w:r>
        <w:rPr>
          <w:rFonts w:hint="eastAsia"/>
          <w:color w:val="000000" w:themeColor="text1"/>
        </w:rPr>
        <w:t>氙气或</w:t>
      </w:r>
      <w:r>
        <w:rPr>
          <w:rFonts w:hint="eastAsia"/>
          <w:color w:val="000000" w:themeColor="text1"/>
        </w:rPr>
        <w:t xml:space="preserve"> LED</w:t>
      </w:r>
      <w:r>
        <w:rPr>
          <w:rFonts w:hint="eastAsia"/>
          <w:color w:val="000000" w:themeColor="text1"/>
        </w:rPr>
        <w:t>信标和警报发声器可以紧密结合</w:t>
      </w:r>
      <w:r>
        <w:rPr>
          <w:rFonts w:hint="eastAsia"/>
          <w:color w:val="000000" w:themeColor="text1"/>
        </w:rPr>
        <w:t>,</w:t>
      </w:r>
      <w:r>
        <w:rPr>
          <w:rFonts w:hint="eastAsia"/>
          <w:color w:val="000000" w:themeColor="text1"/>
        </w:rPr>
        <w:t>而无需背板——从而减少成本和重量。</w:t>
      </w:r>
      <w:r>
        <w:rPr>
          <w:rFonts w:hint="eastAsia"/>
          <w:color w:val="000000" w:themeColor="text1"/>
        </w:rPr>
        <w:t xml:space="preserve"> </w:t>
      </w:r>
    </w:p>
    <w:p>
      <w:pPr>
        <w:tabs>
          <w:tab w:val="left" w:pos="851"/>
          <w:tab w:val="right" w:pos="9072"/>
        </w:tabs>
        <w:spacing w:after="0" w:line="240" w:lineRule="auto"/>
        <w:rPr>
          <w:rFonts w:cs="Calibri"/>
          <w:color w:val="000000" w:themeColor="text1"/>
        </w:rPr>
      </w:pPr>
    </w:p>
    <w:p>
      <w:pPr>
        <w:tabs>
          <w:tab w:val="left" w:pos="851"/>
          <w:tab w:val="right" w:pos="9072"/>
        </w:tabs>
        <w:spacing w:after="0" w:line="240" w:lineRule="auto"/>
        <w:rPr>
          <w:rFonts w:cs="Calibri"/>
          <w:color w:val="000000" w:themeColor="text1"/>
        </w:rPr>
      </w:pPr>
      <w:r>
        <w:rPr>
          <w:rFonts w:hint="eastAsia"/>
          <w:color w:val="000000" w:themeColor="text1"/>
        </w:rPr>
        <w:t>对于可延伸至安全区域系统的应用或工业应用，</w:t>
      </w:r>
      <w:r>
        <w:rPr>
          <w:rFonts w:hint="eastAsia"/>
          <w:color w:val="000000" w:themeColor="text1"/>
        </w:rPr>
        <w:t xml:space="preserve">E2S </w:t>
      </w:r>
      <w:r>
        <w:rPr>
          <w:rFonts w:hint="eastAsia"/>
          <w:color w:val="000000" w:themeColor="text1"/>
        </w:rPr>
        <w:t>可以提供类似的多路装置，例如带闪灯或</w:t>
      </w:r>
      <w:r>
        <w:rPr>
          <w:rFonts w:hint="eastAsia"/>
          <w:color w:val="000000" w:themeColor="text1"/>
        </w:rPr>
        <w:t xml:space="preserve"> LED </w:t>
      </w:r>
      <w:r>
        <w:rPr>
          <w:rFonts w:hint="eastAsia"/>
          <w:color w:val="000000" w:themeColor="text1"/>
        </w:rPr>
        <w:t>灯管的</w:t>
      </w:r>
      <w:r>
        <w:rPr>
          <w:rFonts w:hint="eastAsia"/>
          <w:color w:val="000000" w:themeColor="text1"/>
        </w:rPr>
        <w:t xml:space="preserve"> STA </w:t>
      </w:r>
      <w:r>
        <w:rPr>
          <w:rFonts w:hint="eastAsia"/>
          <w:color w:val="000000" w:themeColor="text1"/>
        </w:rPr>
        <w:t>警报器和</w:t>
      </w:r>
      <w:r>
        <w:rPr>
          <w:rFonts w:hint="eastAsia"/>
          <w:color w:val="000000" w:themeColor="text1"/>
        </w:rPr>
        <w:t xml:space="preserve"> STB </w:t>
      </w:r>
      <w:r>
        <w:rPr>
          <w:rFonts w:hint="eastAsia"/>
          <w:color w:val="000000" w:themeColor="text1"/>
        </w:rPr>
        <w:t>氙气和</w:t>
      </w:r>
      <w:r>
        <w:rPr>
          <w:rFonts w:hint="eastAsia"/>
          <w:color w:val="000000" w:themeColor="text1"/>
        </w:rPr>
        <w:t xml:space="preserve"> LED </w:t>
      </w:r>
      <w:r>
        <w:rPr>
          <w:rFonts w:hint="eastAsia"/>
          <w:color w:val="000000" w:themeColor="text1"/>
        </w:rPr>
        <w:t>信标组件。</w:t>
      </w:r>
    </w:p>
    <w:p>
      <w:pPr>
        <w:tabs>
          <w:tab w:val="left" w:pos="851"/>
          <w:tab w:val="right" w:pos="9072"/>
        </w:tabs>
        <w:spacing w:after="0" w:line="240" w:lineRule="auto"/>
        <w:rPr>
          <w:rFonts w:cs="Calibri"/>
          <w:color w:val="000000" w:themeColor="text1"/>
        </w:rPr>
      </w:pPr>
    </w:p>
    <w:p>
      <w:pPr>
        <w:tabs>
          <w:tab w:val="left" w:pos="851"/>
          <w:tab w:val="right" w:pos="9072"/>
        </w:tabs>
        <w:spacing w:after="0" w:line="240" w:lineRule="auto"/>
        <w:rPr>
          <w:rFonts w:cs="Calibri"/>
          <w:color w:val="000000" w:themeColor="text1"/>
        </w:rPr>
      </w:pPr>
      <w:r>
        <w:rPr>
          <w:rFonts w:hint="eastAsia"/>
          <w:color w:val="000000" w:themeColor="text1"/>
        </w:rPr>
        <w:t xml:space="preserve">*** </w:t>
      </w:r>
      <w:r>
        <w:rPr>
          <w:rFonts w:hint="eastAsia"/>
          <w:color w:val="000000" w:themeColor="text1"/>
        </w:rPr>
        <w:t>结尾：正文字数为</w:t>
      </w:r>
      <w:r>
        <w:rPr>
          <w:rFonts w:hint="eastAsia"/>
          <w:color w:val="000000" w:themeColor="text1"/>
        </w:rPr>
        <w:t xml:space="preserve"> 297***</w:t>
      </w:r>
    </w:p>
    <w:p>
      <w:pPr>
        <w:tabs>
          <w:tab w:val="left" w:pos="851"/>
          <w:tab w:val="right" w:pos="9072"/>
        </w:tabs>
        <w:spacing w:after="0" w:line="240" w:lineRule="auto"/>
        <w:rPr>
          <w:rFonts w:cs="Calibri"/>
          <w:color w:val="000000" w:themeColor="text1"/>
        </w:rPr>
      </w:pPr>
    </w:p>
    <w:p>
      <w:pPr>
        <w:spacing w:after="0" w:line="240" w:lineRule="auto"/>
        <w:rPr>
          <w:b/>
          <w:szCs w:val="24"/>
        </w:rPr>
      </w:pPr>
      <w:r>
        <w:rPr>
          <w:rFonts w:hint="eastAsia"/>
          <w:b/>
          <w:szCs w:val="24"/>
          <w:lang w:val="zh-CN"/>
        </w:rPr>
        <w:t>编者按</w:t>
      </w:r>
    </w:p>
    <w:p>
      <w:pPr>
        <w:tabs>
          <w:tab w:val="left" w:pos="851"/>
          <w:tab w:val="right" w:pos="9072"/>
        </w:tabs>
        <w:spacing w:after="0" w:line="240" w:lineRule="auto"/>
        <w:rPr>
          <w:rFonts w:cs="Calibri"/>
          <w:b/>
          <w:bCs/>
          <w:color w:val="000000" w:themeColor="text1"/>
        </w:rPr>
      </w:pPr>
      <w:r>
        <w:rPr>
          <w:rFonts w:hint="eastAsia"/>
          <w:b/>
          <w:bCs/>
          <w:color w:val="000000" w:themeColor="text1"/>
        </w:rPr>
        <w:t>发布于</w:t>
      </w:r>
      <w:r>
        <w:rPr>
          <w:rFonts w:hint="eastAsia"/>
          <w:b/>
          <w:bCs/>
          <w:color w:val="000000" w:themeColor="text1"/>
        </w:rPr>
        <w:t xml:space="preserve"> </w:t>
      </w:r>
      <w:r>
        <w:rPr>
          <w:rFonts w:hint="eastAsia"/>
          <w:b/>
          <w:bCs/>
          <w:color w:val="000000" w:themeColor="text1"/>
        </w:rPr>
        <w:t>2019</w:t>
      </w:r>
      <w:r>
        <w:rPr>
          <w:rFonts w:hint="eastAsia"/>
          <w:b/>
          <w:bCs/>
          <w:color w:val="000000" w:themeColor="text1"/>
        </w:rPr>
        <w:t>年</w:t>
      </w:r>
      <w:r>
        <w:rPr>
          <w:rFonts w:hint="eastAsia"/>
          <w:b/>
          <w:bCs/>
          <w:color w:val="000000" w:themeColor="text1"/>
        </w:rPr>
        <w:t>10</w:t>
      </w:r>
      <w:r>
        <w:rPr>
          <w:rFonts w:hint="eastAsia"/>
          <w:b/>
          <w:bCs/>
          <w:color w:val="000000" w:themeColor="text1"/>
        </w:rPr>
        <w:t>月</w:t>
      </w:r>
      <w:r>
        <w:rPr>
          <w:rFonts w:hint="eastAsia"/>
          <w:b/>
          <w:bCs/>
          <w:color w:val="000000" w:themeColor="text1"/>
        </w:rPr>
        <w:t>2</w:t>
      </w:r>
      <w:r>
        <w:rPr>
          <w:rFonts w:hint="eastAsia"/>
          <w:b/>
          <w:bCs/>
          <w:color w:val="000000" w:themeColor="text1"/>
        </w:rPr>
        <w:t>日</w:t>
      </w:r>
    </w:p>
    <w:p>
      <w:pPr>
        <w:spacing w:after="0" w:line="240" w:lineRule="auto"/>
        <w:rPr>
          <w:szCs w:val="24"/>
        </w:rPr>
      </w:pPr>
      <w:r>
        <w:rPr>
          <w:szCs w:val="24"/>
          <w:lang w:val="zh-CN"/>
        </w:rPr>
        <w:br/>
      </w:r>
      <w:r>
        <w:rPr>
          <w:rFonts w:hint="eastAsia"/>
          <w:szCs w:val="24"/>
          <w:lang w:val="zh-CN"/>
        </w:rPr>
        <w:t>所有后续问询</w:t>
      </w:r>
      <w:r>
        <w:rPr>
          <w:rFonts w:hint="eastAsia"/>
          <w:szCs w:val="24"/>
        </w:rPr>
        <w:t>，</w:t>
      </w:r>
      <w:r>
        <w:rPr>
          <w:rFonts w:hint="eastAsia"/>
          <w:szCs w:val="24"/>
          <w:lang w:val="zh-CN"/>
        </w:rPr>
        <w:t>请联系以下人员</w:t>
      </w:r>
      <w:r>
        <w:rPr>
          <w:rFonts w:hint="eastAsia"/>
          <w:szCs w:val="24"/>
        </w:rPr>
        <w:t>：</w:t>
      </w:r>
      <w:r>
        <w:rPr>
          <w:szCs w:val="24"/>
        </w:rPr>
        <w:tab/>
      </w:r>
    </w:p>
    <w:p>
      <w:pPr>
        <w:spacing w:after="0" w:line="240" w:lineRule="auto"/>
        <w:rPr>
          <w:noProof/>
          <w:szCs w:val="24"/>
        </w:rPr>
      </w:pPr>
    </w:p>
    <w:p>
      <w:pPr>
        <w:spacing w:after="0" w:line="240" w:lineRule="auto"/>
        <w:rPr>
          <w:szCs w:val="24"/>
        </w:rPr>
      </w:pPr>
      <w:r>
        <w:rPr>
          <w:noProof/>
          <w:szCs w:val="24"/>
        </w:rPr>
        <w:t>Nigel May</w:t>
      </w:r>
      <w:r>
        <w:rPr>
          <w:szCs w:val="24"/>
        </w:rPr>
        <w:tab/>
      </w:r>
    </w:p>
    <w:p>
      <w:pPr>
        <w:spacing w:after="0" w:line="240" w:lineRule="auto"/>
        <w:rPr>
          <w:szCs w:val="24"/>
        </w:rPr>
      </w:pPr>
      <w:r>
        <w:rPr>
          <w:noProof/>
          <w:szCs w:val="24"/>
        </w:rPr>
        <w:t>Parkfield Communications Limited</w:t>
      </w:r>
    </w:p>
    <w:p>
      <w:pPr>
        <w:spacing w:after="0" w:line="240" w:lineRule="auto"/>
        <w:rPr>
          <w:szCs w:val="24"/>
        </w:rPr>
      </w:pPr>
      <w:r>
        <w:rPr>
          <w:noProof/>
          <w:szCs w:val="24"/>
        </w:rPr>
        <w:t>Parkfield House</w:t>
      </w:r>
    </w:p>
    <w:p>
      <w:pPr>
        <w:spacing w:after="0" w:line="240" w:lineRule="auto"/>
        <w:rPr>
          <w:szCs w:val="24"/>
        </w:rPr>
      </w:pPr>
      <w:r>
        <w:rPr>
          <w:noProof/>
          <w:szCs w:val="24"/>
        </w:rPr>
        <w:t>Damerham</w:t>
      </w:r>
    </w:p>
    <w:p>
      <w:pPr>
        <w:spacing w:after="0" w:line="240" w:lineRule="auto"/>
        <w:rPr>
          <w:szCs w:val="24"/>
        </w:rPr>
      </w:pPr>
      <w:r>
        <w:rPr>
          <w:noProof/>
          <w:szCs w:val="24"/>
        </w:rPr>
        <w:t>SP6 3HQ</w:t>
      </w:r>
    </w:p>
    <w:p>
      <w:pPr>
        <w:spacing w:after="0" w:line="240" w:lineRule="auto"/>
        <w:rPr>
          <w:szCs w:val="24"/>
        </w:rPr>
      </w:pPr>
      <w:r>
        <w:rPr>
          <w:noProof/>
          <w:szCs w:val="24"/>
        </w:rPr>
        <w:t>Great Britain</w:t>
      </w:r>
    </w:p>
    <w:p>
      <w:pPr>
        <w:spacing w:after="0" w:line="240" w:lineRule="auto"/>
        <w:rPr>
          <w:szCs w:val="24"/>
        </w:rPr>
      </w:pPr>
      <w:r>
        <w:rPr>
          <w:rFonts w:hint="eastAsia"/>
          <w:szCs w:val="24"/>
          <w:lang w:val="zh-CN"/>
        </w:rPr>
        <w:t>电话</w:t>
      </w:r>
      <w:r>
        <w:rPr>
          <w:rFonts w:hint="eastAsia"/>
          <w:szCs w:val="24"/>
        </w:rPr>
        <w:t>：</w:t>
      </w:r>
      <w:r>
        <w:rPr>
          <w:szCs w:val="24"/>
        </w:rPr>
        <w:t xml:space="preserve"> + 44 (0)1725 518321</w:t>
      </w:r>
    </w:p>
    <w:p>
      <w:pPr>
        <w:spacing w:after="0" w:line="240" w:lineRule="auto"/>
        <w:rPr>
          <w:szCs w:val="24"/>
        </w:rPr>
      </w:pPr>
      <w:r>
        <w:rPr>
          <w:rFonts w:hint="eastAsia"/>
          <w:szCs w:val="24"/>
          <w:lang w:val="zh-CN"/>
        </w:rPr>
        <w:t>传真</w:t>
      </w:r>
      <w:r>
        <w:rPr>
          <w:rFonts w:hint="eastAsia"/>
          <w:szCs w:val="24"/>
        </w:rPr>
        <w:t>：</w:t>
      </w:r>
      <w:r>
        <w:rPr>
          <w:szCs w:val="24"/>
        </w:rPr>
        <w:t xml:space="preserve"> + 44 (0)1725 518378</w:t>
      </w:r>
    </w:p>
    <w:p>
      <w:pPr>
        <w:spacing w:after="0" w:line="240" w:lineRule="auto"/>
        <w:rPr>
          <w:szCs w:val="24"/>
        </w:rPr>
      </w:pPr>
      <w:hyperlink r:id="rId9" w:history="1">
        <w:r>
          <w:rPr>
            <w:rStyle w:val="Hyperlink"/>
            <w:rFonts w:cs="Calibri"/>
            <w:noProof/>
            <w:szCs w:val="24"/>
          </w:rPr>
          <w:t>nigel.may@parkfield.co.uk</w:t>
        </w:r>
      </w:hyperlink>
      <w:r>
        <w:rPr>
          <w:noProof/>
          <w:szCs w:val="24"/>
        </w:rPr>
        <w:t xml:space="preserve"> </w:t>
      </w:r>
    </w:p>
    <w:p>
      <w:pPr>
        <w:spacing w:after="0" w:line="240" w:lineRule="auto"/>
        <w:rPr>
          <w:szCs w:val="24"/>
        </w:rPr>
      </w:pPr>
      <w:hyperlink r:id="rId10" w:history="1">
        <w:r>
          <w:rPr>
            <w:rStyle w:val="Hyperlink"/>
            <w:rFonts w:cs="Calibri"/>
            <w:noProof/>
            <w:szCs w:val="24"/>
          </w:rPr>
          <w:t>parkfield.co.uk</w:t>
        </w:r>
      </w:hyperlink>
      <w:r>
        <w:rPr>
          <w:noProof/>
          <w:szCs w:val="24"/>
        </w:rPr>
        <w:t xml:space="preserve"> </w:t>
      </w:r>
    </w:p>
    <w:p>
      <w:pPr>
        <w:spacing w:after="0" w:line="240" w:lineRule="auto"/>
        <w:rPr>
          <w:szCs w:val="24"/>
        </w:rPr>
      </w:pPr>
      <w:r>
        <w:rPr>
          <w:szCs w:val="24"/>
        </w:rPr>
        <w:br/>
        <w:t>E2S</w:t>
      </w:r>
      <w:r>
        <w:rPr>
          <w:rFonts w:hint="eastAsia"/>
          <w:szCs w:val="24"/>
          <w:lang w:val="zh-CN"/>
        </w:rPr>
        <w:t>是世界领先的独立信号产品制造商</w:t>
      </w:r>
      <w:r>
        <w:rPr>
          <w:rFonts w:hint="eastAsia"/>
          <w:szCs w:val="24"/>
        </w:rPr>
        <w:t>，</w:t>
      </w:r>
      <w:r>
        <w:rPr>
          <w:rFonts w:hint="eastAsia"/>
          <w:szCs w:val="24"/>
          <w:lang w:val="zh-CN"/>
        </w:rPr>
        <w:t>设计并制造全套工业环境、海洋环境以及危险区域环境用信号产品。公司总部位于英格兰西伦敦。</w:t>
      </w:r>
      <w:r>
        <w:rPr>
          <w:szCs w:val="24"/>
          <w:lang w:val="en-US"/>
        </w:rPr>
        <w:t>E2S</w:t>
      </w:r>
      <w:r>
        <w:rPr>
          <w:rFonts w:hint="eastAsia"/>
          <w:szCs w:val="24"/>
          <w:lang w:val="zh-CN"/>
        </w:rPr>
        <w:t>产品通过销售网络行销全球。经销商详情见公司网站。另外</w:t>
      </w:r>
      <w:r>
        <w:rPr>
          <w:rFonts w:hint="eastAsia"/>
          <w:szCs w:val="24"/>
          <w:lang w:val="en-US"/>
        </w:rPr>
        <w:t>，</w:t>
      </w:r>
      <w:r>
        <w:rPr>
          <w:szCs w:val="24"/>
          <w:lang w:val="en-US"/>
        </w:rPr>
        <w:t>E2S</w:t>
      </w:r>
      <w:r>
        <w:rPr>
          <w:rFonts w:hint="eastAsia"/>
          <w:szCs w:val="24"/>
          <w:lang w:val="zh-CN"/>
        </w:rPr>
        <w:t>在得克萨斯州休斯敦设有专门的经销中心</w:t>
      </w:r>
      <w:r>
        <w:rPr>
          <w:rFonts w:hint="eastAsia"/>
          <w:szCs w:val="24"/>
          <w:lang w:val="en-US"/>
        </w:rPr>
        <w:t>，</w:t>
      </w:r>
      <w:r>
        <w:rPr>
          <w:rFonts w:hint="eastAsia"/>
          <w:szCs w:val="24"/>
          <w:lang w:val="zh-CN"/>
        </w:rPr>
        <w:t>负责当地产品经销和技术支持。</w:t>
      </w:r>
    </w:p>
    <w:p>
      <w:pPr>
        <w:spacing w:after="0" w:line="240" w:lineRule="auto"/>
        <w:rPr>
          <w:szCs w:val="24"/>
        </w:rPr>
      </w:pPr>
      <w:r>
        <w:rPr>
          <w:noProof/>
          <w:szCs w:val="24"/>
        </w:rPr>
        <w:lastRenderedPageBreak/>
        <w:t>E2S Warning Signals</w:t>
      </w:r>
    </w:p>
    <w:p>
      <w:pPr>
        <w:spacing w:after="0" w:line="240" w:lineRule="auto"/>
        <w:rPr>
          <w:szCs w:val="24"/>
        </w:rPr>
      </w:pPr>
      <w:r>
        <w:rPr>
          <w:noProof/>
          <w:szCs w:val="24"/>
        </w:rPr>
        <w:t>Impress House</w:t>
      </w:r>
    </w:p>
    <w:p>
      <w:pPr>
        <w:spacing w:after="0" w:line="240" w:lineRule="auto"/>
        <w:rPr>
          <w:szCs w:val="24"/>
        </w:rPr>
      </w:pPr>
      <w:r>
        <w:rPr>
          <w:noProof/>
          <w:szCs w:val="24"/>
        </w:rPr>
        <w:t>Mansell Road</w:t>
      </w:r>
    </w:p>
    <w:p>
      <w:pPr>
        <w:spacing w:after="0" w:line="240" w:lineRule="auto"/>
        <w:rPr>
          <w:szCs w:val="24"/>
        </w:rPr>
      </w:pPr>
      <w:r>
        <w:rPr>
          <w:noProof/>
          <w:szCs w:val="24"/>
        </w:rPr>
        <w:t>London</w:t>
      </w:r>
    </w:p>
    <w:p>
      <w:pPr>
        <w:spacing w:after="0" w:line="240" w:lineRule="auto"/>
        <w:rPr>
          <w:szCs w:val="24"/>
        </w:rPr>
      </w:pPr>
      <w:r>
        <w:rPr>
          <w:noProof/>
          <w:szCs w:val="24"/>
        </w:rPr>
        <w:t>W3 7QH</w:t>
      </w:r>
    </w:p>
    <w:p>
      <w:pPr>
        <w:spacing w:after="0" w:line="240" w:lineRule="auto"/>
        <w:rPr>
          <w:szCs w:val="24"/>
        </w:rPr>
      </w:pPr>
      <w:r>
        <w:rPr>
          <w:noProof/>
          <w:szCs w:val="24"/>
        </w:rPr>
        <w:t>Great Britain</w:t>
      </w:r>
    </w:p>
    <w:p>
      <w:pPr>
        <w:spacing w:after="0" w:line="240" w:lineRule="auto"/>
        <w:rPr>
          <w:szCs w:val="24"/>
        </w:rPr>
      </w:pPr>
      <w:r>
        <w:rPr>
          <w:rFonts w:hint="eastAsia"/>
          <w:szCs w:val="24"/>
          <w:lang w:val="zh-CN"/>
        </w:rPr>
        <w:t>电话：</w:t>
      </w:r>
      <w:r>
        <w:rPr>
          <w:szCs w:val="24"/>
        </w:rPr>
        <w:t xml:space="preserve"> + 44 (0)20 8743 8880</w:t>
      </w:r>
    </w:p>
    <w:p>
      <w:pPr>
        <w:spacing w:after="0" w:line="240" w:lineRule="auto"/>
        <w:rPr>
          <w:szCs w:val="24"/>
        </w:rPr>
      </w:pPr>
      <w:r>
        <w:rPr>
          <w:rFonts w:hint="eastAsia"/>
          <w:szCs w:val="24"/>
          <w:lang w:val="zh-CN"/>
        </w:rPr>
        <w:t>传真：</w:t>
      </w:r>
      <w:r>
        <w:rPr>
          <w:szCs w:val="24"/>
        </w:rPr>
        <w:t xml:space="preserve"> + 44 (0)20 8740 4200</w:t>
      </w:r>
    </w:p>
    <w:p>
      <w:pPr>
        <w:spacing w:after="0" w:line="240" w:lineRule="auto"/>
        <w:rPr>
          <w:szCs w:val="24"/>
        </w:rPr>
      </w:pPr>
      <w:hyperlink r:id="rId11" w:history="1">
        <w:r>
          <w:rPr>
            <w:rStyle w:val="Hyperlink"/>
            <w:rFonts w:cs="Calibri"/>
            <w:noProof/>
            <w:szCs w:val="24"/>
          </w:rPr>
          <w:t>sales@e2s.com</w:t>
        </w:r>
      </w:hyperlink>
      <w:r>
        <w:rPr>
          <w:noProof/>
          <w:szCs w:val="24"/>
        </w:rPr>
        <w:t xml:space="preserve"> </w:t>
      </w:r>
    </w:p>
    <w:p>
      <w:pPr>
        <w:tabs>
          <w:tab w:val="left" w:pos="851"/>
          <w:tab w:val="right" w:pos="9072"/>
        </w:tabs>
        <w:spacing w:after="0" w:line="240" w:lineRule="auto"/>
        <w:rPr>
          <w:szCs w:val="24"/>
        </w:rPr>
      </w:pPr>
      <w:hyperlink r:id="rId12" w:history="1">
        <w:r>
          <w:rPr>
            <w:rStyle w:val="Hyperlink"/>
            <w:noProof/>
            <w:szCs w:val="24"/>
          </w:rPr>
          <w:t>e2s.com</w:t>
        </w:r>
      </w:hyperlink>
    </w:p>
    <w:p>
      <w:pPr>
        <w:spacing w:after="0" w:line="240" w:lineRule="auto"/>
        <w:rPr>
          <w:color w:val="000000" w:themeColor="text1"/>
        </w:rPr>
      </w:pPr>
    </w:p>
    <w:sectPr>
      <w:pgSz w:w="11906" w:h="16838"/>
      <w:pgMar w:top="1418" w:right="1418" w:bottom="1418" w:left="1418"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56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189231-14D0-4B80-B020-BE93C355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sz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rFonts w:eastAsia="SimSun"/>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rPr>
      <w:rFonts w:cs="Times New Roman"/>
      <w:color w:val="0563C1"/>
      <w:u w:val="single"/>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zh-CN"/>
    </w:rPr>
  </w:style>
  <w:style w:type="character" w:customStyle="1" w:styleId="CommentTextChar">
    <w:name w:val="Comment Text Char"/>
    <w:basedOn w:val="DefaultParagraphFont"/>
    <w:link w:val="CommentText"/>
    <w:uiPriority w:val="99"/>
    <w:semiHidden/>
    <w:qFormat/>
    <w:rPr>
      <w:rFonts w:eastAsia="SimSun"/>
      <w:sz w:val="20"/>
      <w:lang w:eastAsia="zh-CN"/>
    </w:rPr>
  </w:style>
  <w:style w:type="character" w:customStyle="1" w:styleId="HeaderChar">
    <w:name w:val="Header Char"/>
    <w:basedOn w:val="DefaultParagraphFont"/>
    <w:link w:val="Header"/>
    <w:uiPriority w:val="99"/>
    <w:qFormat/>
    <w:rPr>
      <w:rFonts w:eastAsia="SimSun"/>
      <w:szCs w:val="22"/>
      <w:lang w:eastAsia="zh-CN"/>
    </w:rPr>
  </w:style>
  <w:style w:type="character" w:customStyle="1" w:styleId="FooterChar">
    <w:name w:val="Footer Char"/>
    <w:basedOn w:val="DefaultParagraphFont"/>
    <w:link w:val="Footer"/>
    <w:uiPriority w:val="99"/>
    <w:qFormat/>
    <w:rPr>
      <w:rFonts w:eastAsia="SimSun"/>
      <w:szCs w:val="22"/>
      <w:lang w:eastAsia="zh-CN"/>
    </w:rPr>
  </w:style>
  <w:style w:type="paragraph" w:customStyle="1" w:styleId="Heading">
    <w:name w:val="Heading"/>
    <w:basedOn w:val="Normal"/>
    <w:next w:val="BodyText"/>
    <w:qFormat/>
    <w:pPr>
      <w:keepNext/>
      <w:spacing w:before="240" w:after="120"/>
    </w:pPr>
    <w:rPr>
      <w:rFonts w:eastAsia="Microsoft YaHei"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sz w:val="24"/>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sz w:val="24"/>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qFormat/>
    <w:pPr>
      <w:spacing w:after="0" w:line="240" w:lineRule="auto"/>
    </w:pPr>
    <w:rPr>
      <w:sz w:val="20"/>
      <w:szCs w:val="20"/>
    </w:rPr>
  </w:style>
  <w:style w:type="paragraph" w:customStyle="1" w:styleId="HeaderandFooter">
    <w:name w:val="Header and Footer"/>
    <w:basedOn w:val="Normal"/>
    <w:qFormat/>
  </w:style>
  <w:style w:type="paragraph" w:styleId="Header">
    <w:name w:val="header"/>
    <w:basedOn w:val="Normal"/>
    <w:link w:val="HeaderChar"/>
    <w:uiPriority w:val="99"/>
    <w:unhideWhenUsed/>
    <w:pPr>
      <w:tabs>
        <w:tab w:val="center" w:pos="4153"/>
        <w:tab w:val="right" w:pos="8306"/>
      </w:tabs>
      <w:spacing w:after="0" w:line="240" w:lineRule="auto"/>
    </w:pPr>
  </w:style>
  <w:style w:type="paragraph" w:styleId="Footer">
    <w:name w:val="footer"/>
    <w:basedOn w:val="Normal"/>
    <w:link w:val="FooterChar"/>
    <w:uiPriority w:val="99"/>
    <w:unhideWhenUsed/>
    <w:pPr>
      <w:tabs>
        <w:tab w:val="center" w:pos="4153"/>
        <w:tab w:val="right" w:pos="8306"/>
      </w:tabs>
      <w:spacing w:after="0" w:line="240" w:lineRule="auto"/>
    </w:pPr>
  </w:style>
  <w:style w:type="character" w:styleId="Hyperlink">
    <w:name w:val="Hyperlink"/>
    <w:basedOn w:val="DefaultParagraphFont"/>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arkfield.co.uk/e2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arkfield.co.uk/e2s/adipec19-cn.docx" TargetMode="External"/><Relationship Id="rId12" Type="http://schemas.openxmlformats.org/officeDocument/2006/relationships/hyperlink" Target="http://www.e2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kfield.co.uk/e2s/adipec19-print.jpg" TargetMode="External"/><Relationship Id="rId11" Type="http://schemas.openxmlformats.org/officeDocument/2006/relationships/hyperlink" Target="mailto:sales@e2s.com" TargetMode="External"/><Relationship Id="rId5" Type="http://schemas.openxmlformats.org/officeDocument/2006/relationships/endnotes" Target="endnotes.xml"/><Relationship Id="rId10" Type="http://schemas.openxmlformats.org/officeDocument/2006/relationships/hyperlink" Target="http://www.parkfield.co.uk" TargetMode="External"/><Relationship Id="rId4" Type="http://schemas.openxmlformats.org/officeDocument/2006/relationships/footnotes" Target="footnotes.xml"/><Relationship Id="rId9" Type="http://schemas.openxmlformats.org/officeDocument/2006/relationships/hyperlink" Target="mailto:nigel.may@parkfield.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dc:description/>
  <cp:lastModifiedBy>Nigel</cp:lastModifiedBy>
  <cp:revision>3</cp:revision>
  <dcterms:created xsi:type="dcterms:W3CDTF">2019-10-02T14:21:00Z</dcterms:created>
  <dcterms:modified xsi:type="dcterms:W3CDTF">2019-10-02T14:22:00Z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