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gehen Sie zu </w:t>
      </w:r>
      <w:hyperlink r:id="rId5">
        <w:r>
          <w:rPr>
            <w:rStyle w:val="InternetLink"/>
            <w:rFonts w:asciiTheme="minorHAnsi" w:hAnsiTheme="minorHAnsi" w:cstheme="minorHAnsi"/>
            <w:b w:val="0"/>
            <w:bCs w:val="0"/>
            <w:szCs w:val="22"/>
            <w:lang w:val="de-DE"/>
          </w:rPr>
          <w:t>parkfield.co.uk/e2s/adipec19-print.jpg</w:t>
        </w:r>
      </w:hyperlink>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hyperlink r:id="rId6" w:history="1">
        <w:r>
          <w:rPr>
            <w:rStyle w:val="Hyperlink"/>
            <w:rFonts w:cstheme="minorHAnsi"/>
            <w:szCs w:val="22"/>
            <w:lang w:val="de-DE"/>
          </w:rPr>
          <w:t>parkfield.co.uk/e2s/adipec19-de.docx</w:t>
        </w:r>
      </w:hyperlink>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bookmarkStart w:id="0" w:name="_GoBack"/>
      <w:bookmarkEnd w:id="0"/>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7">
        <w:r>
          <w:rPr>
            <w:rStyle w:val="InternetLink"/>
            <w:rFonts w:asciiTheme="minorHAnsi" w:hAnsiTheme="minorHAnsi" w:cstheme="minorHAnsi"/>
            <w:b w:val="0"/>
            <w:szCs w:val="22"/>
            <w:lang w:val="de-DE"/>
          </w:rPr>
          <w:t>http://www.parkfield.co.uk/e2s/</w:t>
        </w:r>
      </w:hyperlink>
    </w:p>
    <w:p>
      <w:pPr>
        <w:tabs>
          <w:tab w:val="left" w:pos="851"/>
          <w:tab w:val="right" w:pos="9072"/>
        </w:tabs>
        <w:spacing w:after="0" w:line="240" w:lineRule="auto"/>
        <w:rPr>
          <w:rFonts w:cs="Arial"/>
          <w:b/>
          <w:lang w:val="de-DE" w:eastAsia="en-GB"/>
        </w:rPr>
      </w:pPr>
    </w:p>
    <w:p>
      <w:pPr>
        <w:tabs>
          <w:tab w:val="left" w:pos="851"/>
          <w:tab w:val="right" w:pos="9072"/>
        </w:tabs>
        <w:spacing w:after="0" w:line="240" w:lineRule="auto"/>
        <w:rPr>
          <w:b/>
          <w:lang w:val="de-DE"/>
        </w:rPr>
      </w:pPr>
      <w:r>
        <w:rPr>
          <w:b/>
          <w:lang w:val="de-DE"/>
        </w:rPr>
        <w:t>E2S legt den Schwerpunkt auf integrierte Warngeräteanlagen in Gefahrenbereichen auf der ADIPEC</w:t>
      </w:r>
    </w:p>
    <w:p>
      <w:pPr>
        <w:tabs>
          <w:tab w:val="left" w:pos="851"/>
          <w:tab w:val="right" w:pos="9072"/>
        </w:tabs>
        <w:spacing w:after="0" w:line="240" w:lineRule="auto"/>
        <w:jc w:val="center"/>
        <w:rPr>
          <w:b/>
          <w:lang w:val="de-DE"/>
        </w:rPr>
      </w:pPr>
    </w:p>
    <w:p>
      <w:pPr>
        <w:tabs>
          <w:tab w:val="left" w:pos="851"/>
          <w:tab w:val="right" w:pos="9072"/>
        </w:tabs>
        <w:spacing w:after="0" w:line="240" w:lineRule="auto"/>
        <w:rPr>
          <w:rFonts w:cs="Calibri"/>
          <w:lang w:val="de-DE"/>
        </w:rPr>
      </w:pPr>
      <w:r>
        <w:rPr>
          <w:lang w:val="de-DE"/>
        </w:rPr>
        <w:t>E2S Warning Signals präsentiert sein neues Sortiment an integrierten Signalanlagen auf der ADIPEC vom 11. bis 14. November in Abu Dhabi, Stand 8620, Halle 8. Die neue E2S-Serie bietet Systemdesignern und Installateuren vorkonfigurierte Lösungen und schafft die damit verbundenen Kosten für Montagearbeiten vor Ort ab, garantiert gleichzeitig, dass die Verbindungen und Verkabelungen zwischen den Geräten die relevanten Zulassungsanforderungen für den Gefahrenbereich erfüllen und stellt sicher, dass alle Signale vollständig getestet und zertifiziert sind.</w:t>
      </w:r>
    </w:p>
    <w:p>
      <w:pPr>
        <w:tabs>
          <w:tab w:val="left" w:pos="851"/>
          <w:tab w:val="right" w:pos="9072"/>
        </w:tabs>
        <w:spacing w:after="0" w:line="240" w:lineRule="auto"/>
        <w:rPr>
          <w:rFonts w:cs="Calibri"/>
          <w:lang w:val="de-DE"/>
        </w:rPr>
      </w:pPr>
    </w:p>
    <w:p>
      <w:pPr>
        <w:tabs>
          <w:tab w:val="left" w:pos="851"/>
          <w:tab w:val="right" w:pos="9072"/>
        </w:tabs>
        <w:spacing w:after="0" w:line="240" w:lineRule="auto"/>
        <w:rPr>
          <w:rFonts w:cs="Calibri"/>
          <w:lang w:val="de-DE"/>
        </w:rPr>
      </w:pPr>
      <w:r>
        <w:rPr>
          <w:lang w:val="de-DE"/>
        </w:rPr>
        <w:t xml:space="preserve">Die nach Klasse I/II Div 1 und IECEx/ATEX Zone 1/21 zugelassenen Signale sind in verschiedenen Konfigurationen mit bis zu sieben Geräten erhältlich. Mit Produkten aus den Familien D1x, GNEx und STEx mit Gehäusen aus meerwasserbeständigem Aluminium, korrosionsbeständigem GFK oder 316L-Edelstahl – eine Lösung für jede Umgebung. Statusleuchtenkonfigurationen von Hochleistungs-LED- oder Xenon-Leuchten (oder einer Mischung aus den Technologien) können montiert werden, wobei jedes Gerät mit einer Leitungsdurchführung abgedichtet ist und der integrierte Kabelbaum einen einzigen Installationspunkt entweder in der letzten Leuchte oder optional in einer Anschlussdose bietet. Die Linsenfarben umfassen bernsteinfarben, blau, transparent, grün, magenta, rot und gelb. Für eine vollständige audiovisuelle Signalisierung kann die Anlage auch mit einer mehrstufigen Hochleistungssignalhupe mit Leuchthupe oder der innovativen rundstrahlenden E2S-Hupe ausgestattet werden. </w:t>
      </w:r>
    </w:p>
    <w:p>
      <w:pPr>
        <w:tabs>
          <w:tab w:val="left" w:pos="851"/>
          <w:tab w:val="right" w:pos="9072"/>
        </w:tabs>
        <w:spacing w:after="0" w:line="240" w:lineRule="auto"/>
        <w:rPr>
          <w:rFonts w:cs="Calibri"/>
          <w:lang w:val="de-DE"/>
        </w:rPr>
      </w:pPr>
    </w:p>
    <w:p>
      <w:pPr>
        <w:tabs>
          <w:tab w:val="left" w:pos="851"/>
          <w:tab w:val="right" w:pos="9072"/>
        </w:tabs>
        <w:spacing w:after="0" w:line="240" w:lineRule="auto"/>
        <w:rPr>
          <w:rFonts w:cs="Calibri"/>
          <w:lang w:val="de-DE"/>
        </w:rPr>
      </w:pPr>
      <w:r>
        <w:rPr>
          <w:lang w:val="de-DE"/>
        </w:rPr>
        <w:t xml:space="preserve">Bei Anwendungen der Klasse I/II Div 2 und IECEx/ATEX Zone 2/22 bieten die D2x Stapel von Leuchten oder Leuchten mit Alarmtongeber kompakte, aber effektive Lösungen für Anwendungen, die mehrere Signale erfordern. Durch die integrierten mechanischen Verbindungen können die D2x-Xenon- oder LED-Leuchten und Alarmsignalgeber ohne Rückplatten eng gekoppelt werden, was Kosten und Gewicht reduziert. </w:t>
      </w:r>
    </w:p>
    <w:p>
      <w:pPr>
        <w:tabs>
          <w:tab w:val="left" w:pos="851"/>
          <w:tab w:val="right" w:pos="9072"/>
        </w:tabs>
        <w:spacing w:after="0" w:line="240" w:lineRule="auto"/>
        <w:rPr>
          <w:rFonts w:cs="Calibri"/>
          <w:lang w:val="de-DE"/>
        </w:rPr>
      </w:pPr>
    </w:p>
    <w:p>
      <w:pPr>
        <w:tabs>
          <w:tab w:val="left" w:pos="851"/>
          <w:tab w:val="right" w:pos="9072"/>
        </w:tabs>
        <w:spacing w:after="0" w:line="240" w:lineRule="auto"/>
        <w:rPr>
          <w:rFonts w:cs="Calibri"/>
          <w:lang w:val="de-DE"/>
        </w:rPr>
      </w:pPr>
      <w:r>
        <w:rPr>
          <w:lang w:val="de-DE"/>
        </w:rPr>
        <w:t>Für Anwendungen, bei denen sich das System in den sicheren Bereich erstreckt, oder für industrielle Anwendungen kann E2S ähnliche Mehrfacheinheiten anbieten, wie die STA-Signalhupe mit Stroboskop oder LED-Kombination und die STB-Xenon- und LED-Leuchtenanlagen.</w:t>
      </w:r>
    </w:p>
    <w:p>
      <w:pPr>
        <w:tabs>
          <w:tab w:val="left" w:pos="851"/>
          <w:tab w:val="right" w:pos="9072"/>
        </w:tabs>
        <w:spacing w:after="0" w:line="240" w:lineRule="auto"/>
        <w:rPr>
          <w:rFonts w:cs="Calibri"/>
          <w:lang w:val="de-DE"/>
        </w:rPr>
      </w:pPr>
    </w:p>
    <w:p>
      <w:pPr>
        <w:tabs>
          <w:tab w:val="left" w:pos="851"/>
          <w:tab w:val="right" w:pos="9072"/>
        </w:tabs>
        <w:spacing w:after="0" w:line="240" w:lineRule="auto"/>
        <w:rPr>
          <w:rFonts w:cs="Calibri"/>
          <w:lang w:val="de-DE"/>
        </w:rPr>
      </w:pPr>
      <w:r>
        <w:rPr>
          <w:lang w:val="de-DE"/>
        </w:rPr>
        <w:t>*** Ende: Textkörper 297 Wörter ***</w:t>
      </w:r>
    </w:p>
    <w:p>
      <w:pPr>
        <w:tabs>
          <w:tab w:val="left" w:pos="851"/>
          <w:tab w:val="right" w:pos="9072"/>
        </w:tabs>
        <w:spacing w:after="0" w:line="240" w:lineRule="auto"/>
        <w:rPr>
          <w:rFonts w:cs="Calibri"/>
          <w:lang w:val="de-DE"/>
        </w:rPr>
      </w:pPr>
    </w:p>
    <w:p>
      <w:pPr>
        <w:spacing w:after="0" w:line="240" w:lineRule="auto"/>
        <w:rPr>
          <w:rFonts w:cs="Arial"/>
          <w:b/>
          <w:lang w:val="de-DE" w:eastAsia="en-GB"/>
        </w:rPr>
      </w:pPr>
      <w:r>
        <w:rPr>
          <w:rFonts w:cs="Arial"/>
          <w:b/>
          <w:lang w:val="de-DE" w:eastAsia="en-GB"/>
        </w:rPr>
        <w:t>Hinweise an die Redaktion:</w:t>
      </w:r>
    </w:p>
    <w:p>
      <w:pPr>
        <w:tabs>
          <w:tab w:val="left" w:pos="851"/>
          <w:tab w:val="right" w:pos="9072"/>
        </w:tabs>
        <w:spacing w:after="0" w:line="240" w:lineRule="auto"/>
        <w:rPr>
          <w:rFonts w:cs="Calibri"/>
          <w:b/>
          <w:bCs/>
        </w:rPr>
      </w:pPr>
      <w:r>
        <w:rPr>
          <w:b/>
          <w:bCs/>
          <w:lang w:val="de-DE"/>
        </w:rPr>
        <w:t>Veröffentlicht am 1. Oktober 2019</w:t>
      </w:r>
    </w:p>
    <w:p>
      <w:pPr>
        <w:spacing w:after="0" w:line="240" w:lineRule="auto"/>
        <w:rPr>
          <w:rFonts w:cs="Arial"/>
          <w:lang w:val="de-DE" w:eastAsia="en-GB"/>
        </w:rPr>
      </w:pPr>
    </w:p>
    <w:p>
      <w:pPr>
        <w:spacing w:after="0" w:line="240" w:lineRule="auto"/>
        <w:rPr>
          <w:rFonts w:cs="Arial"/>
          <w:lang w:val="de-DE" w:eastAsia="en-GB"/>
        </w:rPr>
      </w:pPr>
      <w:r>
        <w:rPr>
          <w:rFonts w:cs="Arial"/>
          <w:lang w:val="de-DE" w:eastAsia="en-GB"/>
        </w:rPr>
        <w:t>Im Falle weiterer Rückfragen kontaktieren Sie bitte:</w:t>
      </w:r>
    </w:p>
    <w:p>
      <w:pPr>
        <w:spacing w:after="0" w:line="240" w:lineRule="auto"/>
        <w:rPr>
          <w:rFonts w:cs="Arial"/>
          <w:lang w:eastAsia="en-GB"/>
        </w:rPr>
      </w:pPr>
    </w:p>
    <w:p>
      <w:pPr>
        <w:spacing w:after="0" w:line="240" w:lineRule="auto"/>
        <w:rPr>
          <w:rFonts w:cs="Arial"/>
          <w:lang w:eastAsia="en-GB"/>
        </w:rPr>
      </w:pPr>
      <w:r>
        <w:rPr>
          <w:rFonts w:cs="Arial"/>
          <w:lang w:eastAsia="en-GB"/>
        </w:rPr>
        <w:t>Nigel May</w:t>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val="de-DE" w:eastAsia="en-GB"/>
        </w:rPr>
      </w:pPr>
      <w:r>
        <w:rPr>
          <w:rFonts w:cs="Arial"/>
          <w:lang w:val="de-DE" w:eastAsia="en-GB"/>
        </w:rPr>
        <w:lastRenderedPageBreak/>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(0)1725 518321</w:t>
      </w:r>
    </w:p>
    <w:p>
      <w:pPr>
        <w:spacing w:after="0" w:line="240" w:lineRule="auto"/>
        <w:rPr>
          <w:rFonts w:cs="Arial"/>
          <w:lang w:val="fr-FR" w:eastAsia="en-GB"/>
        </w:rPr>
      </w:pPr>
      <w:r>
        <w:rPr>
          <w:rFonts w:cs="Arial"/>
          <w:lang w:val="fr-FR" w:eastAsia="en-GB"/>
        </w:rPr>
        <w:t>Fax: + 44 (0)1725 518378</w:t>
      </w:r>
    </w:p>
    <w:p>
      <w:pPr>
        <w:spacing w:after="0" w:line="240" w:lineRule="auto"/>
        <w:rPr>
          <w:rFonts w:cs="Arial"/>
          <w:lang w:val="fr-FR" w:eastAsia="en-GB"/>
        </w:rPr>
      </w:pPr>
      <w:hyperlink r:id="rId8" w:history="1">
        <w:r>
          <w:rPr>
            <w:rStyle w:val="Hyperlink"/>
            <w:rFonts w:cs="Arial"/>
            <w:lang w:val="fr-FR" w:eastAsia="en-GB"/>
          </w:rPr>
          <w:t>nigel.may@parkfield.co.uk</w:t>
        </w:r>
      </w:hyperlink>
      <w:r>
        <w:rPr>
          <w:rFonts w:cs="Arial"/>
          <w:lang w:val="fr-FR" w:eastAsia="en-GB"/>
        </w:rPr>
        <w:t xml:space="preserve"> </w:t>
      </w:r>
    </w:p>
    <w:p>
      <w:pPr>
        <w:spacing w:after="0" w:line="240" w:lineRule="auto"/>
        <w:rPr>
          <w:rFonts w:cs="Arial"/>
          <w:lang w:val="de-DE" w:eastAsia="en-GB"/>
        </w:rPr>
      </w:pPr>
      <w:hyperlink r:id="rId9" w:history="1">
        <w:r>
          <w:rPr>
            <w:rStyle w:val="Hyperlink"/>
            <w:rFonts w:cs="Arial"/>
            <w:lang w:val="de-DE" w:eastAsia="en-GB"/>
          </w:rPr>
          <w:t>parkfield.co.uk</w:t>
        </w:r>
      </w:hyperlink>
      <w:r>
        <w:rPr>
          <w:rFonts w:cs="Arial"/>
          <w:lang w:val="de-DE" w:eastAsia="en-GB"/>
        </w:rPr>
        <w:t xml:space="preserve"> </w:t>
      </w:r>
    </w:p>
    <w:p>
      <w:pPr>
        <w:spacing w:after="0" w:line="240" w:lineRule="auto"/>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spacing w:after="0" w:line="240" w:lineRule="auto"/>
        <w:rPr>
          <w:rFonts w:cs="Arial"/>
          <w:lang w:val="de-DE"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val="de-DE" w:eastAsia="en-GB"/>
        </w:rPr>
      </w:pPr>
      <w:r>
        <w:rPr>
          <w:rFonts w:cs="Arial"/>
          <w:lang w:val="de-DE" w:eastAsia="en-GB"/>
        </w:rPr>
        <w:t>London</w:t>
      </w:r>
    </w:p>
    <w:p>
      <w:pPr>
        <w:spacing w:after="0" w:line="240" w:lineRule="auto"/>
        <w:rPr>
          <w:rFonts w:cs="Arial"/>
          <w:lang w:val="de-DE" w:eastAsia="en-GB"/>
        </w:rPr>
      </w:pPr>
      <w:r>
        <w:rPr>
          <w:rFonts w:cs="Arial"/>
          <w:lang w:val="de-DE" w:eastAsia="en-GB"/>
        </w:rPr>
        <w:t>W3 7QH</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0"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1"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spacing w:after="0" w:line="240" w:lineRule="auto"/>
        <w:rPr>
          <w:rFonts w:cs="Calibri"/>
          <w:lang w:val="pt-BR"/>
        </w:rPr>
      </w:pPr>
    </w:p>
    <w:p>
      <w:pPr>
        <w:tabs>
          <w:tab w:val="left" w:pos="851"/>
          <w:tab w:val="right" w:pos="9072"/>
        </w:tabs>
        <w:spacing w:after="0" w:line="240" w:lineRule="auto"/>
        <w:jc w:val="center"/>
        <w:rPr>
          <w:b/>
          <w:lang w:val="pt-BR"/>
        </w:rPr>
      </w:pPr>
    </w:p>
    <w:p>
      <w:pPr>
        <w:tabs>
          <w:tab w:val="left" w:pos="851"/>
          <w:tab w:val="right" w:pos="9072"/>
        </w:tabs>
        <w:spacing w:after="0" w:line="240" w:lineRule="auto"/>
        <w:rPr>
          <w:bCs/>
          <w:lang w:val="pt-BR"/>
        </w:rPr>
      </w:pPr>
    </w:p>
    <w:p>
      <w:pPr>
        <w:tabs>
          <w:tab w:val="left" w:pos="851"/>
          <w:tab w:val="right" w:pos="9072"/>
        </w:tabs>
        <w:spacing w:after="0" w:line="240" w:lineRule="auto"/>
        <w:rPr>
          <w:lang w:val="pt-BR"/>
        </w:rPr>
      </w:pPr>
      <w:r>
        <w:rPr>
          <w:rFonts w:cs="Arial"/>
          <w:b/>
          <w:lang w:val="pt-BR" w:eastAsia="en-GB"/>
        </w:rPr>
        <w:br/>
      </w:r>
    </w:p>
    <w:p>
      <w:pPr>
        <w:tabs>
          <w:tab w:val="left" w:pos="851"/>
          <w:tab w:val="right" w:pos="9072"/>
        </w:tabs>
        <w:spacing w:after="0" w:line="240" w:lineRule="auto"/>
        <w:rPr>
          <w:lang w:val="pt-BR"/>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swiss"/>
    <w:pitch w:val="default"/>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932DB-6AC7-4AA5-B457-76C9A1F9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rFonts w:ascii="Calibri" w:hAnsi="Calibri"/>
      <w:szCs w:val="21"/>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paragraph" w:styleId="PlainText">
    <w:name w:val="Plain Text"/>
    <w:basedOn w:val="Normal"/>
    <w:link w:val="PlainTextChar"/>
    <w:uiPriority w:val="99"/>
    <w:semiHidden/>
    <w:unhideWhenUsed/>
    <w:qFormat/>
    <w:pPr>
      <w:spacing w:after="0" w:line="240" w:lineRule="auto"/>
    </w:pPr>
    <w:rPr>
      <w:rFonts w:ascii="Calibri" w:hAnsi="Calibri"/>
      <w:szCs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kfield.co.uk/e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rkfield.co.uk/e2s/adipec19-de.docx" TargetMode="External"/><Relationship Id="rId11" Type="http://schemas.openxmlformats.org/officeDocument/2006/relationships/hyperlink" Target="http://www.e2s.com" TargetMode="External"/><Relationship Id="rId5" Type="http://schemas.openxmlformats.org/officeDocument/2006/relationships/hyperlink" Target="http://www.parkfield.co.uk/e2s/adipec19-print.jpg" TargetMode="External"/><Relationship Id="rId10" Type="http://schemas.openxmlformats.org/officeDocument/2006/relationships/hyperlink" Target="mailto:sales@e2s.com" TargetMode="External"/><Relationship Id="rId4" Type="http://schemas.openxmlformats.org/officeDocument/2006/relationships/webSettings" Target="webSettings.xm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E2F5-8664-4134-8AE5-61535BA1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2019-10-01T13:43:00Z</dcterms:created>
  <dcterms:modified xsi:type="dcterms:W3CDTF">2019-10-01T13:44:00Z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