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rPr>
          <w:rFonts w:cs="Arial"/>
          <w:color w:val="C00000"/>
        </w:rPr>
      </w:pPr>
      <w:r>
        <w:drawing>
          <wp:anchor behindDoc="0" distT="0" distB="0" distL="0" distR="0" simplePos="0" locked="0" layoutInCell="1" allowOverlap="1" relativeHeight="2">
            <wp:simplePos x="0" y="0"/>
            <wp:positionH relativeFrom="column">
              <wp:posOffset>4051300</wp:posOffset>
            </wp:positionH>
            <wp:positionV relativeFrom="paragraph">
              <wp:posOffset>635</wp:posOffset>
            </wp:positionV>
            <wp:extent cx="1638300" cy="847725"/>
            <wp:effectExtent l="0" t="0" r="0" b="0"/>
            <wp:wrapSquare wrapText="larges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jpg"/>
                    <pic:cNvPicPr>
                      <a:picLocks noChangeAspect="1" noChangeArrowheads="1"/>
                    </pic:cNvPicPr>
                  </pic:nvPicPr>
                  <pic:blipFill>
                    <a:blip r:embed="rId2"/>
                    <a:stretch>
                      <a:fillRect/>
                    </a:stretch>
                  </pic:blipFill>
                  <pic:spPr bwMode="auto">
                    <a:xfrm>
                      <a:off x="0" y="0"/>
                      <a:ext cx="1638300" cy="847725"/>
                    </a:xfrm>
                    <a:prstGeom prst="rect">
                      <a:avLst/>
                    </a:prstGeom>
                  </pic:spPr>
                </pic:pic>
              </a:graphicData>
            </a:graphic>
          </wp:anchor>
        </w:drawing>
      </w:r>
      <w:r>
        <w:rPr>
          <w:rFonts w:cs="Arial"/>
          <w:color w:val="C00000"/>
          <w:sz w:val="50"/>
          <w:szCs w:val="50"/>
        </w:rPr>
        <w:t>P</w:t>
      </w:r>
      <w:r>
        <w:rPr>
          <w:rFonts w:cs="Arial"/>
          <w:color w:val="C00000"/>
          <w:sz w:val="50"/>
          <w:szCs w:val="50"/>
        </w:rPr>
        <w:t>RESS RELEASE</w:t>
      </w:r>
      <w:r>
        <w:rPr>
          <w:rFonts w:cs="Arial"/>
          <w:color w:val="C00000"/>
        </w:rPr>
        <w:tab/>
      </w:r>
    </w:p>
    <w:p>
      <w:pPr>
        <w:pStyle w:val="Title"/>
        <w:pBdr>
          <w:top w:val="nil"/>
          <w:left w:val="nil"/>
          <w:bottom w:val="nil"/>
          <w:right w:val="nil"/>
        </w:pBdr>
        <w:spacing w:lineRule="auto" w:line="240" w:before="0" w:after="0"/>
        <w:contextualSpacing/>
        <w:jc w:val="left"/>
        <w:rPr>
          <w:rFonts w:ascii="Calibri" w:hAnsi="Calibri" w:asciiTheme="minorHAnsi" w:hAnsiTheme="minorHAnsi"/>
          <w:b w:val="false"/>
          <w:b w:val="false"/>
          <w:szCs w:val="22"/>
        </w:rPr>
      </w:pPr>
      <w:r>
        <w:rPr>
          <w:rFonts w:asciiTheme="minorHAnsi" w:hAnsiTheme="minorHAnsi" w:ascii="Calibri" w:hAnsi="Calibri"/>
          <w:b w:val="false"/>
          <w:szCs w:val="22"/>
        </w:rPr>
      </w:r>
    </w:p>
    <w:p>
      <w:pPr>
        <w:pStyle w:val="Title"/>
        <w:pBdr>
          <w:top w:val="nil"/>
          <w:left w:val="nil"/>
          <w:bottom w:val="nil"/>
          <w:right w:val="nil"/>
        </w:pBdr>
        <w:spacing w:lineRule="auto" w:line="240" w:before="0" w:after="0"/>
        <w:contextualSpacing/>
        <w:jc w:val="left"/>
        <w:rPr>
          <w:rFonts w:ascii="Calibri" w:hAnsi="Calibri" w:asciiTheme="minorHAnsi" w:hAnsiTheme="minorHAnsi"/>
          <w:b w:val="false"/>
          <w:b w:val="false"/>
          <w:szCs w:val="22"/>
        </w:rPr>
      </w:pPr>
      <w:r>
        <w:rPr>
          <w:rFonts w:asciiTheme="minorHAnsi" w:hAnsiTheme="minorHAnsi" w:ascii="Calibri" w:hAnsi="Calibri"/>
          <w:b w:val="false"/>
          <w:szCs w:val="22"/>
        </w:rPr>
      </w:r>
    </w:p>
    <w:p>
      <w:pPr>
        <w:pStyle w:val="Title"/>
        <w:pBdr>
          <w:top w:val="nil"/>
          <w:left w:val="nil"/>
          <w:bottom w:val="nil"/>
          <w:right w:val="nil"/>
        </w:pBdr>
        <w:spacing w:lineRule="auto" w:line="240" w:before="0" w:after="0"/>
        <w:contextualSpacing/>
        <w:jc w:val="left"/>
        <w:rPr>
          <w:rFonts w:ascii="Calibri" w:hAnsi="Calibri" w:asciiTheme="minorHAnsi" w:hAnsiTheme="minorHAnsi"/>
          <w:b w:val="false"/>
          <w:b w:val="false"/>
          <w:szCs w:val="22"/>
        </w:rPr>
      </w:pPr>
      <w:r>
        <w:rPr>
          <w:rFonts w:asciiTheme="minorHAnsi" w:hAnsiTheme="minorHAnsi" w:ascii="Calibri" w:hAnsi="Calibri"/>
          <w:b w:val="false"/>
          <w:szCs w:val="22"/>
        </w:rPr>
      </w:r>
    </w:p>
    <w:p>
      <w:pPr>
        <w:pStyle w:val="Title"/>
        <w:pBdr>
          <w:top w:val="nil"/>
          <w:left w:val="nil"/>
          <w:bottom w:val="nil"/>
          <w:right w:val="nil"/>
        </w:pBdr>
        <w:spacing w:lineRule="auto" w:line="240" w:before="0" w:after="0"/>
        <w:contextualSpacing/>
        <w:jc w:val="left"/>
        <w:rPr/>
      </w:pPr>
      <w:r>
        <w:rPr>
          <w:rFonts w:ascii="Calibri" w:hAnsi="Calibri" w:asciiTheme="minorHAnsi" w:hAnsiTheme="minorHAnsi"/>
          <w:b w:val="false"/>
          <w:szCs w:val="22"/>
        </w:rPr>
        <w:t xml:space="preserve">To download </w:t>
      </w:r>
      <w:r>
        <w:rPr>
          <w:rFonts w:ascii="Calibri" w:hAnsi="Calibri" w:asciiTheme="minorHAnsi" w:hAnsiTheme="minorHAnsi"/>
          <w:b w:val="false"/>
          <w:bCs w:val="false"/>
          <w:szCs w:val="22"/>
        </w:rPr>
        <w:t xml:space="preserve">a 300dpi print quality image, go to </w:t>
      </w:r>
      <w:hyperlink r:id="rId3">
        <w:r>
          <w:rPr>
            <w:rStyle w:val="InternetLink"/>
            <w:rFonts w:ascii="Calibri" w:hAnsi="Calibri" w:asciiTheme="minorHAnsi" w:hAnsiTheme="minorHAnsi"/>
            <w:b w:val="false"/>
            <w:bCs w:val="false"/>
            <w:szCs w:val="22"/>
          </w:rPr>
          <w:t>http://www.parkfield.co.uk/e2s/adipec19-print.jpg</w:t>
        </w:r>
      </w:hyperlink>
    </w:p>
    <w:p>
      <w:pPr>
        <w:pStyle w:val="Normal"/>
        <w:spacing w:lineRule="auto" w:line="240" w:before="0" w:after="0"/>
        <w:contextualSpacing/>
        <w:rPr/>
      </w:pPr>
      <w:r>
        <w:rPr/>
      </w:r>
    </w:p>
    <w:p>
      <w:pPr>
        <w:pStyle w:val="Normal"/>
        <w:spacing w:lineRule="auto" w:line="240" w:before="0" w:after="0"/>
        <w:contextualSpacing/>
        <w:rPr/>
      </w:pPr>
      <w:r>
        <w:rPr/>
        <w:t xml:space="preserve">To download a Word file of the text, go to </w:t>
      </w:r>
      <w:hyperlink r:id="rId4">
        <w:r>
          <w:rPr>
            <w:rStyle w:val="InternetLink"/>
          </w:rPr>
          <w:t>http://www.parkfield.co.uk/e2s/adipec19-gb.docx</w:t>
        </w:r>
      </w:hyperlink>
      <w:r>
        <w:rPr/>
        <w:t xml:space="preserve"> </w:t>
        <w:br/>
      </w:r>
    </w:p>
    <w:p>
      <w:pPr>
        <w:pStyle w:val="Normal"/>
        <w:spacing w:lineRule="auto" w:line="240" w:before="0" w:after="0"/>
        <w:contextualSpacing/>
        <w:rPr/>
      </w:pPr>
      <w:r>
        <w:rPr/>
        <w:t xml:space="preserve">To view all E2S press information, go to </w:t>
      </w:r>
      <w:hyperlink r:id="rId5">
        <w:r>
          <w:rPr>
            <w:rStyle w:val="InternetLink"/>
            <w:bCs/>
          </w:rPr>
          <w:t>www.parkfield.co.uk/e2s/</w:t>
        </w:r>
      </w:hyperlink>
      <w:r>
        <w:rPr/>
        <w:br/>
        <w:br/>
      </w:r>
      <w:r>
        <w:rPr>
          <w:b/>
        </w:rPr>
        <w:t>E2S major on hazardous area integrated warning device assemblies at ADIPEC</w:t>
      </w:r>
    </w:p>
    <w:p>
      <w:pPr>
        <w:pStyle w:val="Normal"/>
        <w:spacing w:lineRule="auto" w:line="240" w:before="0" w:after="0"/>
        <w:contextualSpacing/>
        <w:rPr>
          <w:rFonts w:cs="Calibri"/>
        </w:rPr>
      </w:pPr>
      <w:r>
        <w:rPr>
          <w:rFonts w:cs="Calibri"/>
        </w:rPr>
      </w:r>
    </w:p>
    <w:p>
      <w:pPr>
        <w:pStyle w:val="Normal"/>
        <w:spacing w:lineRule="auto" w:line="240" w:before="0" w:after="0"/>
        <w:contextualSpacing/>
        <w:rPr/>
      </w:pPr>
      <w:r>
        <w:rPr>
          <w:rFonts w:cs="Calibri"/>
        </w:rPr>
        <w:t>E2S Warning Signals is featuring its new range of integrated signalling assemblies on Booth 8620, Hall 8 at ADIPEC, 11 – 14 November, Abu Dhabi. Providing system designers and installers with pre-configured solutions, the new E2S range eliminates the associated cost of on-site assembly operations whilst guaranteeing the connections and cabling between devices meet the relevant hazardous area approval requirements and ensuring all signals are fully tested and certified.</w:t>
      </w:r>
    </w:p>
    <w:p>
      <w:pPr>
        <w:pStyle w:val="Normal"/>
        <w:spacing w:lineRule="auto" w:line="240" w:before="0" w:after="0"/>
        <w:contextualSpacing/>
        <w:rPr>
          <w:rFonts w:cs="Calibri"/>
        </w:rPr>
      </w:pPr>
      <w:r>
        <w:rPr>
          <w:rFonts w:cs="Calibri"/>
        </w:rPr>
      </w:r>
    </w:p>
    <w:p>
      <w:pPr>
        <w:pStyle w:val="Normal"/>
        <w:spacing w:lineRule="auto" w:line="240" w:before="0" w:after="0"/>
        <w:contextualSpacing/>
        <w:rPr>
          <w:rFonts w:cs="Calibri"/>
        </w:rPr>
      </w:pPr>
      <w:r>
        <w:rPr>
          <w:rFonts w:cs="Calibri"/>
        </w:rPr>
        <w:t xml:space="preserve">Class I/II Div 1 and IECEx/ATEX Zone 1/21 approved signals are available in multiple configurations of up to seven devices. Featuring products from the D1x, GNEx and STEx families with marine grade aluminium, corrosion proof GRP or 316L stainless steel enclosures – a solution for any environment. Status light type configurations of high power LED or Xenon beacons (or a mix of technologies) can be assembled where each device is sealed with a line bushing, the integral cable loom providing one single point of installation either in the last beacon or optionally in a junction box. Lens colours include Amber, Blue, Clear, Green, Magenta, Red and Yellow. For complete audio visual signalling the assembly can also feature a multi-stage high output alarm horn with a flare horn or the innovative E2S omni-directional horn. </w:t>
      </w:r>
    </w:p>
    <w:p>
      <w:pPr>
        <w:pStyle w:val="Normal"/>
        <w:spacing w:lineRule="auto" w:line="240" w:before="0" w:after="0"/>
        <w:contextualSpacing/>
        <w:rPr>
          <w:rFonts w:cs="Calibri"/>
        </w:rPr>
      </w:pPr>
      <w:r>
        <w:rPr>
          <w:rFonts w:cs="Calibri"/>
        </w:rPr>
      </w:r>
    </w:p>
    <w:p>
      <w:pPr>
        <w:pStyle w:val="Normal"/>
        <w:spacing w:lineRule="auto" w:line="240" w:before="0" w:after="0"/>
        <w:contextualSpacing/>
        <w:rPr>
          <w:rFonts w:cs="Calibri"/>
        </w:rPr>
      </w:pPr>
      <w:r>
        <w:rPr>
          <w:rFonts w:cs="Calibri"/>
        </w:rPr>
        <w:t xml:space="preserve">In Class I/II Div 2 and IECEx/ATEX Zone 2/22 applications the D2x stacks of beacons or beacons with alarm horn sounder, provide compact, yet effective solutions for applications requiring multiple signals. Utilising the integral mechanical connections, the D2x Xenon or LED beacons and alarm horn sounders can be close coupled without the need for back plates – reducing cost and weight. </w:t>
      </w:r>
    </w:p>
    <w:p>
      <w:pPr>
        <w:pStyle w:val="Normal"/>
        <w:spacing w:lineRule="auto" w:line="240" w:before="0" w:after="0"/>
        <w:contextualSpacing/>
        <w:rPr>
          <w:rFonts w:cs="Calibri"/>
        </w:rPr>
      </w:pPr>
      <w:r>
        <w:rPr>
          <w:rFonts w:cs="Calibri"/>
        </w:rPr>
      </w:r>
    </w:p>
    <w:p>
      <w:pPr>
        <w:pStyle w:val="Normal"/>
        <w:spacing w:lineRule="auto" w:line="240" w:before="0" w:after="0"/>
        <w:contextualSpacing/>
        <w:rPr>
          <w:rFonts w:cs="Calibri"/>
        </w:rPr>
      </w:pPr>
      <w:r>
        <w:rPr>
          <w:rFonts w:cs="Calibri"/>
        </w:rPr>
        <w:t>For applications where system extend into safe areas or for industrial applications E2S can provide similar multi-way units such as the STA alarm horn with strobe or LED combination and the STB Xenon and LED beacon assemblies.</w:t>
      </w:r>
    </w:p>
    <w:p>
      <w:pPr>
        <w:pStyle w:val="Normal"/>
        <w:spacing w:lineRule="auto" w:line="240" w:before="0" w:after="0"/>
        <w:contextualSpacing/>
        <w:rPr>
          <w:rFonts w:cs="Calibri"/>
        </w:rPr>
      </w:pPr>
      <w:r>
        <w:rPr>
          <w:rFonts w:cs="Calibri"/>
        </w:rPr>
      </w:r>
    </w:p>
    <w:p>
      <w:pPr>
        <w:pStyle w:val="Normal"/>
        <w:spacing w:lineRule="auto" w:line="240" w:before="0" w:after="0"/>
        <w:contextualSpacing/>
        <w:rPr>
          <w:rFonts w:cs="Calibri"/>
        </w:rPr>
      </w:pPr>
      <w:r>
        <w:rPr>
          <w:rFonts w:cs="Calibri"/>
        </w:rPr>
        <w:t>*** Ends: body copy 297 words ***</w:t>
      </w:r>
    </w:p>
    <w:p>
      <w:pPr>
        <w:pStyle w:val="Normal"/>
        <w:spacing w:lineRule="auto" w:line="240" w:before="0" w:after="0"/>
        <w:contextualSpacing/>
        <w:rPr>
          <w:rFonts w:cs="Calibri"/>
        </w:rPr>
      </w:pPr>
      <w:r>
        <w:rPr>
          <w:rFonts w:cs="Calibri"/>
        </w:rPr>
      </w:r>
    </w:p>
    <w:p>
      <w:pPr>
        <w:pStyle w:val="Normal"/>
        <w:spacing w:lineRule="auto" w:line="240" w:before="0" w:after="0"/>
        <w:contextualSpacing/>
        <w:rPr>
          <w:rFonts w:cs="Arial"/>
          <w:b/>
          <w:b/>
          <w:lang w:eastAsia="en-GB"/>
        </w:rPr>
      </w:pPr>
      <w:r>
        <w:rPr>
          <w:rFonts w:cs="Arial"/>
          <w:b/>
          <w:lang w:eastAsia="en-GB"/>
        </w:rPr>
        <w:t>Notes to Editors.</w:t>
      </w:r>
    </w:p>
    <w:p>
      <w:pPr>
        <w:pStyle w:val="Normal"/>
        <w:spacing w:lineRule="auto" w:line="240" w:before="0" w:after="0"/>
        <w:contextualSpacing/>
        <w:rPr>
          <w:rFonts w:cs="Arial"/>
          <w:b/>
          <w:b/>
          <w:bCs/>
          <w:lang w:eastAsia="en-GB"/>
        </w:rPr>
      </w:pPr>
      <w:r>
        <w:rPr>
          <w:rFonts w:cs="Arial"/>
          <w:b/>
          <w:bCs/>
          <w:lang w:eastAsia="en-GB"/>
        </w:rPr>
        <w:t>Released 01 October 2019</w:t>
      </w:r>
    </w:p>
    <w:p>
      <w:pPr>
        <w:pStyle w:val="Normal"/>
        <w:spacing w:lineRule="auto" w:line="240" w:before="0" w:after="0"/>
        <w:contextualSpacing/>
        <w:rPr>
          <w:rFonts w:cs="Arial"/>
          <w:b/>
          <w:b/>
          <w:bCs/>
          <w:lang w:eastAsia="en-GB"/>
        </w:rPr>
      </w:pPr>
      <w:r>
        <w:rPr>
          <w:rFonts w:cs="Arial"/>
          <w:b/>
          <w:bCs/>
          <w:lang w:eastAsia="en-GB"/>
        </w:rPr>
      </w:r>
      <w:bookmarkStart w:id="0" w:name="_GoBack"/>
      <w:bookmarkStart w:id="1" w:name="_GoBack"/>
      <w:bookmarkEnd w:id="1"/>
    </w:p>
    <w:p>
      <w:pPr>
        <w:pStyle w:val="Normal"/>
        <w:spacing w:lineRule="auto" w:line="240" w:before="0" w:after="0"/>
        <w:contextualSpacing/>
        <w:rPr>
          <w:rFonts w:cs="Arial"/>
          <w:lang w:eastAsia="en-GB"/>
        </w:rPr>
      </w:pPr>
      <w:r>
        <w:rPr>
          <w:rFonts w:cs="Arial"/>
          <w:lang w:eastAsia="en-GB"/>
        </w:rPr>
        <w:t>For all follow-up enquiries, please contact:</w:t>
        <w:tab/>
      </w:r>
    </w:p>
    <w:p>
      <w:pPr>
        <w:pStyle w:val="Normal"/>
        <w:spacing w:lineRule="auto" w:line="240" w:before="0" w:after="0"/>
        <w:contextualSpacing/>
        <w:rPr>
          <w:rFonts w:cs="Arial"/>
          <w:lang w:eastAsia="en-GB"/>
        </w:rPr>
      </w:pPr>
      <w:r>
        <w:rPr>
          <w:rFonts w:cs="Arial"/>
          <w:lang w:eastAsia="en-GB"/>
        </w:rPr>
      </w:r>
    </w:p>
    <w:p>
      <w:pPr>
        <w:pStyle w:val="Normal"/>
        <w:spacing w:lineRule="auto" w:line="240" w:before="0" w:after="0"/>
        <w:contextualSpacing/>
        <w:rPr>
          <w:rFonts w:cs="Arial"/>
          <w:lang w:eastAsia="en-GB"/>
        </w:rPr>
      </w:pPr>
      <w:r>
        <w:rPr>
          <w:rFonts w:cs="Arial"/>
          <w:lang w:eastAsia="en-GB"/>
        </w:rPr>
        <w:t>Nigel May</w:t>
        <w:tab/>
      </w:r>
    </w:p>
    <w:p>
      <w:pPr>
        <w:pStyle w:val="Normal"/>
        <w:spacing w:lineRule="auto" w:line="240" w:before="0" w:after="0"/>
        <w:contextualSpacing/>
        <w:rPr>
          <w:rFonts w:cs="Arial"/>
          <w:lang w:eastAsia="en-GB"/>
        </w:rPr>
      </w:pPr>
      <w:r>
        <w:rPr>
          <w:rFonts w:cs="Arial"/>
          <w:lang w:eastAsia="en-GB"/>
        </w:rPr>
        <w:t>Parkfield Communications Limited</w:t>
      </w:r>
    </w:p>
    <w:p>
      <w:pPr>
        <w:pStyle w:val="Normal"/>
        <w:spacing w:lineRule="auto" w:line="240" w:before="0" w:after="0"/>
        <w:contextualSpacing/>
        <w:rPr>
          <w:rFonts w:cs="Arial"/>
          <w:lang w:eastAsia="en-GB"/>
        </w:rPr>
      </w:pPr>
      <w:r>
        <w:rPr>
          <w:rFonts w:cs="Arial"/>
          <w:lang w:eastAsia="en-GB"/>
        </w:rPr>
        <w:t>Parkfield House</w:t>
      </w:r>
    </w:p>
    <w:p>
      <w:pPr>
        <w:pStyle w:val="Normal"/>
        <w:spacing w:lineRule="auto" w:line="240" w:before="0" w:after="0"/>
        <w:contextualSpacing/>
        <w:rPr>
          <w:rFonts w:cs="Arial"/>
          <w:lang w:eastAsia="en-GB"/>
        </w:rPr>
      </w:pPr>
      <w:r>
        <w:rPr>
          <w:rFonts w:cs="Arial"/>
          <w:lang w:eastAsia="en-GB"/>
        </w:rPr>
        <w:t>Damerham</w:t>
      </w:r>
    </w:p>
    <w:p>
      <w:pPr>
        <w:pStyle w:val="Normal"/>
        <w:spacing w:lineRule="auto" w:line="240" w:before="0" w:after="0"/>
        <w:contextualSpacing/>
        <w:rPr>
          <w:rFonts w:cs="Arial"/>
          <w:lang w:eastAsia="en-GB"/>
        </w:rPr>
      </w:pPr>
      <w:r>
        <w:rPr>
          <w:rFonts w:cs="Arial"/>
          <w:lang w:eastAsia="en-GB"/>
        </w:rPr>
        <w:t>SP6 3HQ</w:t>
      </w:r>
    </w:p>
    <w:p>
      <w:pPr>
        <w:pStyle w:val="Normal"/>
        <w:spacing w:lineRule="auto" w:line="240" w:before="0" w:after="0"/>
        <w:contextualSpacing/>
        <w:rPr>
          <w:rFonts w:cs="Arial"/>
          <w:lang w:eastAsia="en-GB"/>
        </w:rPr>
      </w:pPr>
      <w:r>
        <w:rPr>
          <w:rFonts w:cs="Arial"/>
          <w:lang w:eastAsia="en-GB"/>
        </w:rPr>
        <w:t>Great Britain</w:t>
      </w:r>
    </w:p>
    <w:p>
      <w:pPr>
        <w:pStyle w:val="Normal"/>
        <w:spacing w:lineRule="auto" w:line="240" w:before="0" w:after="0"/>
        <w:contextualSpacing/>
        <w:rPr>
          <w:rFonts w:cs="Arial"/>
          <w:lang w:eastAsia="en-GB"/>
        </w:rPr>
      </w:pPr>
      <w:r>
        <w:rPr>
          <w:rFonts w:cs="Arial"/>
          <w:lang w:eastAsia="en-GB"/>
        </w:rPr>
        <w:t>Tel: + 44 (0)1725 518321</w:t>
      </w:r>
    </w:p>
    <w:p>
      <w:pPr>
        <w:pStyle w:val="Normal"/>
        <w:spacing w:lineRule="auto" w:line="240" w:before="0" w:after="0"/>
        <w:contextualSpacing/>
        <w:rPr/>
      </w:pPr>
      <w:hyperlink r:id="rId6">
        <w:r>
          <w:rPr>
            <w:rStyle w:val="InternetLink"/>
            <w:rFonts w:cs="Arial"/>
            <w:lang w:eastAsia="en-GB"/>
          </w:rPr>
          <w:t>nigel.may@parkfield.co.uk</w:t>
        </w:r>
      </w:hyperlink>
      <w:r>
        <w:rPr>
          <w:rFonts w:cs="Arial"/>
          <w:lang w:eastAsia="en-GB"/>
        </w:rPr>
        <w:t xml:space="preserve"> </w:t>
      </w:r>
    </w:p>
    <w:p>
      <w:pPr>
        <w:pStyle w:val="Normal"/>
        <w:spacing w:lineRule="auto" w:line="240" w:before="0" w:after="0"/>
        <w:contextualSpacing/>
        <w:rPr/>
      </w:pPr>
      <w:hyperlink r:id="rId7">
        <w:r>
          <w:rPr>
            <w:rStyle w:val="InternetLink"/>
            <w:rFonts w:cs="Arial"/>
            <w:lang w:eastAsia="en-GB"/>
          </w:rPr>
          <w:t>parkfield.co.uk</w:t>
        </w:r>
      </w:hyperlink>
      <w:r>
        <w:rPr>
          <w:rFonts w:cs="Arial"/>
          <w:lang w:eastAsia="en-GB"/>
        </w:rPr>
        <w:t xml:space="preserve"> </w:t>
      </w:r>
    </w:p>
    <w:p>
      <w:pPr>
        <w:pStyle w:val="Normal"/>
        <w:spacing w:lineRule="auto" w:line="240" w:before="0" w:after="0"/>
        <w:contextualSpacing/>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Normal"/>
        <w:spacing w:lineRule="auto" w:line="240" w:before="0" w:after="0"/>
        <w:contextualSpacing/>
        <w:rPr>
          <w:rFonts w:cs="Arial"/>
          <w:lang w:eastAsia="en-GB"/>
        </w:rPr>
      </w:pPr>
      <w:r>
        <w:rPr>
          <w:rFonts w:cs="Arial"/>
          <w:lang w:eastAsia="en-GB"/>
        </w:rPr>
      </w:r>
    </w:p>
    <w:p>
      <w:pPr>
        <w:pStyle w:val="Normal"/>
        <w:spacing w:lineRule="auto" w:line="240" w:before="0" w:after="0"/>
        <w:contextualSpacing/>
        <w:rPr>
          <w:rFonts w:cs="Arial"/>
          <w:lang w:eastAsia="en-GB"/>
        </w:rPr>
      </w:pPr>
      <w:r>
        <w:rPr>
          <w:rFonts w:cs="Arial"/>
          <w:lang w:eastAsia="en-GB"/>
        </w:rPr>
        <w:t>E2S Warning Signals</w:t>
      </w:r>
    </w:p>
    <w:p>
      <w:pPr>
        <w:pStyle w:val="Normal"/>
        <w:spacing w:lineRule="auto" w:line="240" w:before="0" w:after="0"/>
        <w:contextualSpacing/>
        <w:rPr>
          <w:rFonts w:cs="Arial"/>
          <w:lang w:eastAsia="en-GB"/>
        </w:rPr>
      </w:pPr>
      <w:r>
        <w:rPr>
          <w:rFonts w:cs="Arial"/>
          <w:lang w:eastAsia="en-GB"/>
        </w:rPr>
        <w:t>Impress House</w:t>
      </w:r>
    </w:p>
    <w:p>
      <w:pPr>
        <w:pStyle w:val="Normal"/>
        <w:spacing w:lineRule="auto" w:line="240" w:before="0" w:after="0"/>
        <w:contextualSpacing/>
        <w:rPr>
          <w:rFonts w:cs="Arial"/>
          <w:lang w:eastAsia="en-GB"/>
        </w:rPr>
      </w:pPr>
      <w:r>
        <w:rPr>
          <w:rFonts w:cs="Arial"/>
          <w:lang w:eastAsia="en-GB"/>
        </w:rPr>
        <w:t>Mansell Road</w:t>
      </w:r>
    </w:p>
    <w:p>
      <w:pPr>
        <w:pStyle w:val="Normal"/>
        <w:spacing w:lineRule="auto" w:line="240" w:before="0" w:after="0"/>
        <w:contextualSpacing/>
        <w:rPr>
          <w:rFonts w:cs="Arial"/>
          <w:lang w:eastAsia="en-GB"/>
        </w:rPr>
      </w:pPr>
      <w:r>
        <w:rPr>
          <w:rFonts w:cs="Arial"/>
          <w:lang w:eastAsia="en-GB"/>
        </w:rPr>
        <w:t>London</w:t>
      </w:r>
    </w:p>
    <w:p>
      <w:pPr>
        <w:pStyle w:val="Normal"/>
        <w:spacing w:lineRule="auto" w:line="240" w:before="0" w:after="0"/>
        <w:contextualSpacing/>
        <w:rPr>
          <w:rFonts w:cs="Arial"/>
          <w:lang w:eastAsia="en-GB"/>
        </w:rPr>
      </w:pPr>
      <w:r>
        <w:rPr>
          <w:rFonts w:cs="Arial"/>
          <w:lang w:eastAsia="en-GB"/>
        </w:rPr>
        <w:t>W3 7QH</w:t>
      </w:r>
    </w:p>
    <w:p>
      <w:pPr>
        <w:pStyle w:val="Normal"/>
        <w:spacing w:lineRule="auto" w:line="240" w:before="0" w:after="0"/>
        <w:contextualSpacing/>
        <w:rPr>
          <w:rFonts w:cs="Arial"/>
          <w:lang w:eastAsia="en-GB"/>
        </w:rPr>
      </w:pPr>
      <w:r>
        <w:rPr>
          <w:rFonts w:cs="Arial"/>
          <w:lang w:eastAsia="en-GB"/>
        </w:rPr>
        <w:t>Great Britain</w:t>
      </w:r>
    </w:p>
    <w:p>
      <w:pPr>
        <w:pStyle w:val="Normal"/>
        <w:spacing w:lineRule="auto" w:line="240" w:before="0" w:after="0"/>
        <w:contextualSpacing/>
        <w:rPr>
          <w:rFonts w:cs="Arial"/>
          <w:lang w:eastAsia="en-GB"/>
        </w:rPr>
      </w:pPr>
      <w:r>
        <w:rPr>
          <w:rFonts w:cs="Arial"/>
          <w:lang w:eastAsia="en-GB"/>
        </w:rPr>
        <w:t>Tel: + 44 (0)20 8743 8880</w:t>
      </w:r>
    </w:p>
    <w:p>
      <w:pPr>
        <w:pStyle w:val="Normal"/>
        <w:spacing w:lineRule="auto" w:line="240" w:before="0" w:after="0"/>
        <w:contextualSpacing/>
        <w:rPr>
          <w:rFonts w:cs="Arial"/>
          <w:lang w:val="pt-BR" w:eastAsia="en-GB"/>
        </w:rPr>
      </w:pPr>
      <w:r>
        <w:rPr>
          <w:rFonts w:cs="Arial"/>
          <w:lang w:val="pt-BR" w:eastAsia="en-GB"/>
        </w:rPr>
        <w:t>Fax: + 44 (0)20 8740 4200</w:t>
      </w:r>
    </w:p>
    <w:p>
      <w:pPr>
        <w:pStyle w:val="Normal"/>
        <w:spacing w:lineRule="auto" w:line="240" w:before="0" w:after="0"/>
        <w:contextualSpacing/>
        <w:rPr/>
      </w:pPr>
      <w:hyperlink r:id="rId8">
        <w:r>
          <w:rPr>
            <w:rStyle w:val="InternetLink"/>
            <w:rFonts w:cs="Arial"/>
            <w:lang w:val="pt-BR" w:eastAsia="en-GB"/>
          </w:rPr>
          <w:t>sales@e2s.com</w:t>
        </w:r>
      </w:hyperlink>
      <w:r>
        <w:rPr>
          <w:rFonts w:cs="Arial"/>
          <w:lang w:val="pt-BR" w:eastAsia="en-GB"/>
        </w:rPr>
        <w:t xml:space="preserve"> </w:t>
      </w:r>
    </w:p>
    <w:p>
      <w:pPr>
        <w:pStyle w:val="Normal"/>
        <w:spacing w:lineRule="auto" w:line="240" w:before="0" w:after="0"/>
        <w:contextualSpacing/>
        <w:rPr/>
      </w:pPr>
      <w:hyperlink r:id="rId9">
        <w:r>
          <w:rPr>
            <w:rStyle w:val="InternetLink"/>
            <w:rFonts w:cs="Arial"/>
            <w:lang w:val="pt-BR" w:eastAsia="en-GB"/>
          </w:rPr>
          <w:t>e2s.com</w:t>
        </w:r>
      </w:hyperlink>
    </w:p>
    <w:p>
      <w:pPr>
        <w:pStyle w:val="Normal"/>
        <w:spacing w:lineRule="auto" w:line="240" w:before="0" w:after="0"/>
        <w:contextualSpacing/>
        <w:rPr>
          <w:lang w:val="pt-BR"/>
        </w:rPr>
      </w:pPr>
      <w:r>
        <w:rPr>
          <w:lang w:val="pt-BR"/>
        </w:rPr>
      </w:r>
    </w:p>
    <w:p>
      <w:pPr>
        <w:pStyle w:val="Normal"/>
        <w:spacing w:lineRule="auto" w:line="240" w:before="0" w:after="0"/>
        <w:contextualSpacing/>
        <w:rPr>
          <w:rFonts w:cs="Calibri"/>
          <w:lang w:val="pt-BR"/>
        </w:rPr>
      </w:pPr>
      <w:r>
        <w:rPr>
          <w:rFonts w:cs="Calibri"/>
          <w:lang w:val="pt-BR"/>
        </w:rPr>
      </w:r>
    </w:p>
    <w:p>
      <w:pPr>
        <w:pStyle w:val="Normal"/>
        <w:spacing w:lineRule="auto" w:line="240" w:before="0" w:after="0"/>
        <w:contextualSpacing/>
        <w:rPr>
          <w:rFonts w:cs="Calibri"/>
          <w:lang w:val="pt-BR"/>
        </w:rPr>
      </w:pPr>
      <w:r>
        <w:rPr>
          <w:rFonts w:cs="Calibri"/>
          <w:lang w:val="pt-BR"/>
        </w:rPr>
      </w:r>
    </w:p>
    <w:p>
      <w:pPr>
        <w:pStyle w:val="Normal"/>
        <w:spacing w:lineRule="auto" w:line="240" w:before="0" w:after="0"/>
        <w:contextualSpacing/>
        <w:jc w:val="center"/>
        <w:rPr>
          <w:b/>
          <w:b/>
          <w:lang w:val="pt-BR"/>
        </w:rPr>
      </w:pPr>
      <w:r>
        <w:rPr>
          <w:b/>
          <w:lang w:val="pt-BR"/>
        </w:rPr>
      </w:r>
    </w:p>
    <w:p>
      <w:pPr>
        <w:pStyle w:val="Normal"/>
        <w:spacing w:lineRule="auto" w:line="240" w:before="0" w:after="0"/>
        <w:contextualSpacing/>
        <w:rPr>
          <w:bCs/>
          <w:lang w:val="pt-BR"/>
        </w:rPr>
      </w:pPr>
      <w:r>
        <w:rPr>
          <w:bCs/>
          <w:lang w:val="pt-BR"/>
        </w:rPr>
      </w:r>
    </w:p>
    <w:p>
      <w:pPr>
        <w:pStyle w:val="Normal"/>
        <w:spacing w:lineRule="auto" w:line="240" w:before="0" w:after="0"/>
        <w:contextualSpacing/>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Helvetica">
    <w:altName w:val="Arial"/>
    <w:charset w:val="01"/>
    <w:family w:val="swiss"/>
    <w:pitch w:val="default"/>
  </w:font>
</w:fonts>
</file>

<file path=word/settings.xml><?xml version="1.0" encoding="utf-8"?>
<w:settings xmlns:w="http://schemas.openxmlformats.org/wordprocessingml/2006/main">
  <w:zoom w:percent="100"/>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6a7cf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f5324"/>
    <w:rPr/>
  </w:style>
  <w:style w:type="character" w:styleId="FooterChar" w:customStyle="1">
    <w:name w:val="Footer Char"/>
    <w:basedOn w:val="DefaultParagraphFont"/>
    <w:link w:val="Footer"/>
    <w:uiPriority w:val="99"/>
    <w:qFormat/>
    <w:rsid w:val="008f5324"/>
    <w:rPr/>
  </w:style>
  <w:style w:type="character" w:styleId="BalloonTextChar" w:customStyle="1">
    <w:name w:val="Balloon Text Char"/>
    <w:basedOn w:val="DefaultParagraphFont"/>
    <w:link w:val="BalloonText"/>
    <w:uiPriority w:val="99"/>
    <w:semiHidden/>
    <w:qFormat/>
    <w:rsid w:val="00c9011e"/>
    <w:rPr>
      <w:rFonts w:ascii="Segoe UI" w:hAnsi="Segoe UI" w:cs="Segoe UI"/>
      <w:sz w:val="18"/>
      <w:szCs w:val="18"/>
    </w:rPr>
  </w:style>
  <w:style w:type="character" w:styleId="InternetLink">
    <w:name w:val="Internet Link"/>
    <w:basedOn w:val="DefaultParagraphFont"/>
    <w:uiPriority w:val="99"/>
    <w:unhideWhenUsed/>
    <w:rsid w:val="005159fe"/>
    <w:rPr>
      <w:color w:val="0563C1" w:themeColor="hyperlink"/>
      <w:u w:val="single"/>
    </w:rPr>
  </w:style>
  <w:style w:type="character" w:styleId="TitleChar" w:customStyle="1">
    <w:name w:val="Title Char"/>
    <w:basedOn w:val="DefaultParagraphFont"/>
    <w:link w:val="Title"/>
    <w:qFormat/>
    <w:rsid w:val="006f0497"/>
    <w:rPr>
      <w:rFonts w:ascii="Helvetica" w:hAnsi="Helvetica" w:eastAsia="Times New Roman" w:cs="Times New Roman"/>
      <w:b/>
      <w:bCs/>
      <w:kern w:val="2"/>
      <w:szCs w:val="24"/>
    </w:rPr>
  </w:style>
  <w:style w:type="paragraph" w:styleId="Heading">
    <w:name w:val="Heading"/>
    <w:basedOn w:val="Normal"/>
    <w:next w:val="TextBody"/>
    <w:qFormat/>
    <w:pPr>
      <w:keepNext w:val="true"/>
      <w:spacing w:before="240" w:after="120"/>
    </w:pPr>
    <w:rPr>
      <w:rFonts w:ascii="Calibri" w:hAnsi="Calibri"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sz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8f5324"/>
    <w:pPr>
      <w:tabs>
        <w:tab w:val="clear" w:pos="567"/>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f5324"/>
    <w:pPr>
      <w:tabs>
        <w:tab w:val="clear" w:pos="567"/>
        <w:tab w:val="center" w:pos="4513" w:leader="none"/>
        <w:tab w:val="right" w:pos="9026" w:leader="none"/>
      </w:tabs>
      <w:spacing w:lineRule="auto" w:line="240" w:before="0" w:after="0"/>
    </w:pPr>
    <w:rPr/>
  </w:style>
  <w:style w:type="paragraph" w:styleId="Revision">
    <w:name w:val="Revision"/>
    <w:uiPriority w:val="99"/>
    <w:semiHidden/>
    <w:qFormat/>
    <w:rsid w:val="00f96a9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alloonText">
    <w:name w:val="Balloon Text"/>
    <w:basedOn w:val="Normal"/>
    <w:link w:val="BalloonTextChar"/>
    <w:uiPriority w:val="99"/>
    <w:semiHidden/>
    <w:unhideWhenUsed/>
    <w:qFormat/>
    <w:rsid w:val="00c9011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159fe"/>
    <w:pPr>
      <w:spacing w:before="0" w:after="160"/>
      <w:ind w:left="720" w:hanging="0"/>
      <w:contextualSpacing/>
    </w:pPr>
    <w:rPr/>
  </w:style>
  <w:style w:type="paragraph" w:styleId="Title">
    <w:name w:val="Title"/>
    <w:basedOn w:val="Normal"/>
    <w:link w:val="TitleChar"/>
    <w:qFormat/>
    <w:rsid w:val="006f0497"/>
    <w:pPr>
      <w:pBdr>
        <w:top w:val="single" w:sz="4" w:space="1" w:color="000000"/>
        <w:left w:val="single" w:sz="4" w:space="4" w:color="000000"/>
        <w:bottom w:val="single" w:sz="4" w:space="1" w:color="000000"/>
        <w:right w:val="single" w:sz="4" w:space="4" w:color="000000"/>
      </w:pBdr>
      <w:tabs>
        <w:tab w:val="clear" w:pos="567"/>
        <w:tab w:val="left" w:pos="851" w:leader="none"/>
        <w:tab w:val="right" w:pos="9072" w:leader="none"/>
      </w:tabs>
      <w:spacing w:lineRule="auto" w:line="240" w:before="0" w:after="0"/>
      <w:jc w:val="center"/>
    </w:pPr>
    <w:rPr>
      <w:rFonts w:ascii="Helvetica" w:hAnsi="Helvetica" w:eastAsia="Times New Roman" w:cs="Times New Roman"/>
      <w:b/>
      <w:bCs/>
      <w:kern w:val="2"/>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parkfield.co.uk/e2s/adipec19-print.jpg" TargetMode="External"/><Relationship Id="rId4" Type="http://schemas.openxmlformats.org/officeDocument/2006/relationships/hyperlink" Target="http://www.parkfield.co.uk/e2s/adipec19-gb.docx" TargetMode="External"/><Relationship Id="rId5" Type="http://schemas.openxmlformats.org/officeDocument/2006/relationships/hyperlink" Target="http://www.parkfield.co.uk/e2s/" TargetMode="External"/><Relationship Id="rId6" Type="http://schemas.openxmlformats.org/officeDocument/2006/relationships/hyperlink" Target="mailto:nigel.may@parkfield.co.uk" TargetMode="External"/><Relationship Id="rId7" Type="http://schemas.openxmlformats.org/officeDocument/2006/relationships/hyperlink" Target="http://www.parkfield.co.uk/" TargetMode="External"/><Relationship Id="rId8" Type="http://schemas.openxmlformats.org/officeDocument/2006/relationships/hyperlink" Target="mailto:sales@e2s.com" TargetMode="External"/><Relationship Id="rId9" Type="http://schemas.openxmlformats.org/officeDocument/2006/relationships/hyperlink" Target="http://www.e2s.com/"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7C901746AF24887049BA08217B78C" ma:contentTypeVersion="11" ma:contentTypeDescription="Create a new document." ma:contentTypeScope="" ma:versionID="b2f80e1fa5cf9af8b85b54b318edcd9d">
  <xsd:schema xmlns:xsd="http://www.w3.org/2001/XMLSchema" xmlns:xs="http://www.w3.org/2001/XMLSchema" xmlns:p="http://schemas.microsoft.com/office/2006/metadata/properties" xmlns:ns3="e7e3129c-41db-46a9-9a22-3c4b7398018b" xmlns:ns4="b4bbcb50-9cdb-4b8d-b287-d3d8e65af043" targetNamespace="http://schemas.microsoft.com/office/2006/metadata/properties" ma:root="true" ma:fieldsID="cce558df1466f130bb2599d05ad8767e" ns3:_="" ns4:_="">
    <xsd:import namespace="e7e3129c-41db-46a9-9a22-3c4b7398018b"/>
    <xsd:import namespace="b4bbcb50-9cdb-4b8d-b287-d3d8e65af0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3129c-41db-46a9-9a22-3c4b739801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bcb50-9cdb-4b8d-b287-d3d8e65af0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ECFBB-8139-4FE3-BEF7-97DB8D05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3129c-41db-46a9-9a22-3c4b7398018b"/>
    <ds:schemaRef ds:uri="b4bbcb50-9cdb-4b8d-b287-d3d8e65a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5E290-AD20-4E8E-8FC0-8F4C5B0CEF06}">
  <ds:schemaRefs>
    <ds:schemaRef ds:uri="http://schemas.microsoft.com/sharepoint/v3/contenttype/forms"/>
  </ds:schemaRefs>
</ds:datastoreItem>
</file>

<file path=customXml/itemProps3.xml><?xml version="1.0" encoding="utf-8"?>
<ds:datastoreItem xmlns:ds="http://schemas.openxmlformats.org/officeDocument/2006/customXml" ds:itemID="{8E0D2732-31BA-4CC2-B2CE-A55E49DEC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LibreOffice/6.3.1.2$Windows_X86_64 LibreOffice_project/b79626edf0065ac373bd1df5c28bd630b4424273</Application>
  <Pages>2</Pages>
  <Words>471</Words>
  <Characters>2699</Characters>
  <CharactersWithSpaces>3154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2019-10-01T12:21:00Z</dcterms:created>
  <dc:creator>Nigel</dc:creator>
  <dc:description/>
  <dc:language>en-GB</dc:language>
  <cp:lastModifiedBy>Nigel May</cp:lastModifiedBy>
  <cp:lastPrinted>2013-11-08T14:21:00Z</cp:lastPrinted>
  <dcterms:modified xsi:type="dcterms:W3CDTF">2019-10-01T14:19:06Z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0x0101009337C901746AF24887049BA08217B78C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