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spacing w:after="0" w:line="240" w:lineRule="auto"/>
        <w:rPr>
          <w:rFonts w:ascii="MingLiU" w:eastAsia="MingLiU" w:hAnsi="MingLiU" w:cs="SimSun"/>
          <w:b/>
          <w:bCs/>
          <w:color w:val="C00000"/>
          <w:sz w:val="48"/>
          <w:szCs w:val="48"/>
        </w:rPr>
      </w:pPr>
      <w:r>
        <w:rPr>
          <w:rFonts w:ascii="MingLiU" w:eastAsia="MingLiU" w:hAnsi="MingLiU" w:cs="SimSun"/>
          <w:b/>
          <w:bCs/>
          <w:color w:val="C00000"/>
          <w:sz w:val="50"/>
          <w:szCs w:val="50"/>
        </w:rPr>
        <w:t>新闻资料</w:t>
      </w:r>
      <w:r>
        <w:rPr>
          <w:rFonts w:ascii="MingLiU" w:eastAsia="MingLiU" w:hAnsi="MingLiU" w:cs="SimSun"/>
          <w:b/>
          <w:bCs/>
          <w:color w:val="C00000"/>
          <w:sz w:val="48"/>
          <w:szCs w:val="48"/>
        </w:rPr>
        <w:t xml:space="preserve"> </w:t>
      </w:r>
      <w:r>
        <w:rPr>
          <w:rFonts w:ascii="MingLiU" w:eastAsia="MingLiU" w:hAnsi="MingLiU" w:cs="SimSun"/>
          <w:b/>
          <w:bCs/>
          <w:color w:val="C00000"/>
          <w:sz w:val="48"/>
          <w:szCs w:val="48"/>
        </w:rPr>
        <w:tab/>
      </w:r>
    </w:p>
    <w:p>
      <w:pPr>
        <w:spacing w:after="0" w:line="240" w:lineRule="auto"/>
        <w:rPr>
          <w:rFonts w:eastAsia="MingLiU"/>
          <w:bCs/>
          <w:szCs w:val="24"/>
        </w:rPr>
      </w:pPr>
      <w:r>
        <w:rPr>
          <w:rFonts w:eastAsia="MingLiU" w:hint="eastAsia"/>
          <w:bCs/>
          <w:szCs w:val="24"/>
        </w:rPr>
        <w:t>发布于</w:t>
      </w:r>
      <w:r>
        <w:rPr>
          <w:rFonts w:eastAsia="MingLiU" w:hint="eastAsia"/>
          <w:bCs/>
          <w:szCs w:val="24"/>
        </w:rPr>
        <w:t xml:space="preserve"> </w:t>
      </w:r>
      <w:r>
        <w:rPr>
          <w:rFonts w:hint="eastAsia"/>
          <w:bCs/>
          <w:szCs w:val="24"/>
        </w:rPr>
        <w:t>2021</w:t>
      </w:r>
      <w:r>
        <w:rPr>
          <w:rFonts w:hint="eastAsia"/>
          <w:bCs/>
          <w:szCs w:val="24"/>
        </w:rPr>
        <w:t>年</w:t>
      </w:r>
      <w:r>
        <w:rPr>
          <w:rFonts w:hint="eastAsia"/>
          <w:bCs/>
          <w:szCs w:val="24"/>
        </w:rPr>
        <w:t>9</w:t>
      </w:r>
      <w:r>
        <w:rPr>
          <w:rFonts w:hint="eastAsia"/>
          <w:bCs/>
          <w:szCs w:val="24"/>
        </w:rPr>
        <w:t>月</w:t>
      </w:r>
      <w:r>
        <w:rPr>
          <w:rFonts w:hint="eastAsia"/>
          <w:bCs/>
          <w:szCs w:val="24"/>
        </w:rPr>
        <w:t>15</w:t>
      </w:r>
      <w:r>
        <w:rPr>
          <w:rFonts w:hint="eastAsia"/>
          <w:bCs/>
          <w:szCs w:val="24"/>
        </w:rPr>
        <w:t>日</w:t>
      </w:r>
    </w:p>
    <w:p>
      <w:pPr>
        <w:spacing w:after="0" w:line="240" w:lineRule="auto"/>
        <w:rPr>
          <w:rFonts w:ascii="MingLiU" w:eastAsiaTheme="minorEastAsia" w:hAnsi="MingLiU" w:cs="SimSun"/>
          <w:bCs/>
        </w:rPr>
      </w:pPr>
    </w:p>
    <w:p>
      <w:pPr>
        <w:spacing w:after="0" w:line="240" w:lineRule="auto"/>
      </w:pPr>
      <w:r>
        <w:rPr>
          <w:rFonts w:ascii="MingLiU" w:eastAsia="MingLiU" w:hAnsi="MingLiU" w:cs="SimSun"/>
          <w:bCs/>
        </w:rPr>
        <w:t>要下载 300dpi 打印质量图片，</w:t>
      </w:r>
      <w:proofErr w:type="gramStart"/>
      <w:r>
        <w:rPr>
          <w:rFonts w:ascii="MingLiU" w:eastAsia="MingLiU" w:hAnsi="MingLiU" w:cs="SimSun"/>
          <w:bCs/>
        </w:rPr>
        <w:t>请访问</w:t>
      </w:r>
      <w:proofErr w:type="gramEnd"/>
      <w:r>
        <w:rPr>
          <w:rFonts w:ascii="MingLiU" w:eastAsia="MingLiU" w:hAnsi="MingLiU" w:cs="SimSun"/>
          <w:bCs/>
        </w:rPr>
        <w:t xml:space="preserve"> </w:t>
      </w:r>
      <w:hyperlink r:id="rId6" w:history="1">
        <w:r>
          <w:rPr>
            <w:rStyle w:val="Hyperlink"/>
            <w:rFonts w:ascii="MingLiU" w:eastAsia="MingLiU" w:hAnsi="MingLiU" w:cs="SimSun"/>
            <w:bCs/>
          </w:rPr>
          <w:t>parkfield.co.uk/e2s/adipec21-print.jpg</w:t>
        </w:r>
      </w:hyperlink>
    </w:p>
    <w:p>
      <w:pPr>
        <w:spacing w:after="0" w:line="240" w:lineRule="auto"/>
        <w:rPr>
          <w:rFonts w:ascii="MingLiU" w:eastAsiaTheme="minorEastAsia" w:hAnsi="MingLiU" w:cs="SimSun"/>
          <w:bCs/>
        </w:rPr>
      </w:pPr>
    </w:p>
    <w:p>
      <w:pPr>
        <w:spacing w:after="0" w:line="240" w:lineRule="auto"/>
      </w:pPr>
      <w:r>
        <w:rPr>
          <w:rFonts w:ascii="MingLiU" w:eastAsia="MingLiU" w:hAnsi="MingLiU" w:cs="SimSun"/>
          <w:bCs/>
        </w:rPr>
        <w:t>要下载 Word 格式文章，</w:t>
      </w:r>
      <w:proofErr w:type="gramStart"/>
      <w:r>
        <w:rPr>
          <w:rFonts w:ascii="MingLiU" w:eastAsia="MingLiU" w:hAnsi="MingLiU" w:cs="SimSun"/>
          <w:bCs/>
        </w:rPr>
        <w:t>请访问</w:t>
      </w:r>
      <w:proofErr w:type="gramEnd"/>
      <w:r>
        <w:rPr>
          <w:rFonts w:ascii="MingLiU" w:eastAsia="MingLiU" w:hAnsi="MingLiU" w:cs="SimSun"/>
          <w:bCs/>
        </w:rPr>
        <w:t xml:space="preserve"> </w:t>
      </w:r>
      <w:hyperlink r:id="rId7" w:history="1">
        <w:r>
          <w:rPr>
            <w:rStyle w:val="Hyperlink"/>
            <w:rFonts w:ascii="MingLiU" w:eastAsia="MingLiU" w:hAnsi="MingLiU" w:cs="SimSun"/>
            <w:bCs/>
          </w:rPr>
          <w:t>parkfield.co.uk/e2s/adipec21-cn.docx</w:t>
        </w:r>
      </w:hyperlink>
    </w:p>
    <w:p>
      <w:pPr>
        <w:spacing w:after="0" w:line="240" w:lineRule="auto"/>
        <w:rPr>
          <w:rFonts w:ascii="MingLiU" w:eastAsiaTheme="minorEastAsia" w:hAnsi="MingLiU" w:cs="SimSun"/>
          <w:bCs/>
        </w:rPr>
      </w:pPr>
    </w:p>
    <w:p>
      <w:pPr>
        <w:tabs>
          <w:tab w:val="left" w:pos="851"/>
          <w:tab w:val="right" w:pos="9072"/>
        </w:tabs>
        <w:rPr>
          <w:b/>
          <w:snapToGrid w:val="0"/>
          <w:color w:val="000000"/>
          <w:szCs w:val="20"/>
        </w:rPr>
      </w:pPr>
      <w:r>
        <w:rPr>
          <w:rFonts w:ascii="MingLiU" w:eastAsia="MingLiU" w:hAnsi="MingLiU" w:cs="SimSun"/>
          <w:bCs/>
        </w:rPr>
        <w:t>要查看全部 E2S 新闻资料，</w:t>
      </w:r>
      <w:proofErr w:type="gramStart"/>
      <w:r>
        <w:rPr>
          <w:rFonts w:ascii="MingLiU" w:eastAsia="MingLiU" w:hAnsi="MingLiU" w:cs="SimSun"/>
          <w:bCs/>
        </w:rPr>
        <w:t>请访问</w:t>
      </w:r>
      <w:proofErr w:type="gramEnd"/>
      <w:r>
        <w:rPr>
          <w:rFonts w:ascii="MingLiU" w:eastAsia="MingLiU" w:hAnsi="MingLiU" w:cs="SimSun"/>
          <w:bCs/>
        </w:rPr>
        <w:t xml:space="preserve"> </w:t>
      </w:r>
      <w:hyperlink r:id="rId8" w:history="1">
        <w:r>
          <w:rPr>
            <w:rStyle w:val="Hyperlink"/>
            <w:rFonts w:ascii="MingLiU" w:eastAsia="MingLiU" w:hAnsi="MingLiU" w:cs="SimSun"/>
            <w:bCs/>
          </w:rPr>
          <w:t>parkfield.co.uk/e2s/</w:t>
        </w:r>
      </w:hyperlink>
      <w:r>
        <w:rPr>
          <w:rFonts w:ascii="MingLiU" w:eastAsia="MingLiU" w:hAnsi="MingLiU"/>
        </w:rPr>
        <w:br/>
      </w:r>
      <w:r>
        <w:rPr>
          <w:rFonts w:ascii="MingLiU" w:eastAsia="MingLiU" w:hAnsi="MingLiU"/>
        </w:rPr>
        <w:br/>
      </w:r>
      <w:r>
        <w:rPr>
          <w:rFonts w:hint="eastAsia"/>
          <w:b/>
          <w:snapToGrid w:val="0"/>
          <w:color w:val="000000"/>
          <w:szCs w:val="20"/>
        </w:rPr>
        <w:t xml:space="preserve">E2S </w:t>
      </w:r>
      <w:r>
        <w:rPr>
          <w:rFonts w:hint="eastAsia"/>
          <w:b/>
          <w:snapToGrid w:val="0"/>
          <w:color w:val="000000"/>
          <w:szCs w:val="20"/>
        </w:rPr>
        <w:t>在阿布扎比国际石油天然气展览会上深入展示报警信号功能</w:t>
      </w:r>
    </w:p>
    <w:p>
      <w:pPr>
        <w:widowControl w:val="0"/>
        <w:tabs>
          <w:tab w:val="left" w:pos="851"/>
          <w:tab w:val="right" w:pos="9072"/>
        </w:tabs>
        <w:spacing w:after="0" w:line="240" w:lineRule="auto"/>
        <w:jc w:val="center"/>
        <w:rPr>
          <w:b/>
          <w:snapToGrid w:val="0"/>
          <w:color w:val="000000"/>
          <w:szCs w:val="20"/>
        </w:rPr>
      </w:pPr>
    </w:p>
    <w:p>
      <w:pPr>
        <w:widowControl w:val="0"/>
        <w:tabs>
          <w:tab w:val="left" w:pos="851"/>
          <w:tab w:val="right" w:pos="9072"/>
        </w:tabs>
        <w:spacing w:after="0" w:line="240" w:lineRule="auto"/>
        <w:rPr>
          <w:bCs/>
          <w:snapToGrid w:val="0"/>
          <w:color w:val="000000"/>
          <w:szCs w:val="20"/>
        </w:rPr>
      </w:pPr>
      <w:r>
        <w:rPr>
          <w:rFonts w:hint="eastAsia"/>
          <w:snapToGrid w:val="0"/>
          <w:color w:val="000000"/>
          <w:szCs w:val="20"/>
        </w:rPr>
        <w:t xml:space="preserve">E2S Warning Signals </w:t>
      </w:r>
      <w:r>
        <w:rPr>
          <w:rFonts w:hint="eastAsia"/>
          <w:snapToGrid w:val="0"/>
          <w:color w:val="000000"/>
          <w:szCs w:val="20"/>
        </w:rPr>
        <w:t>设计并制造报警喇叭发声器、氙气闪光灯和</w:t>
      </w:r>
      <w:r>
        <w:rPr>
          <w:rFonts w:hint="eastAsia"/>
          <w:snapToGrid w:val="0"/>
          <w:color w:val="000000"/>
          <w:szCs w:val="20"/>
        </w:rPr>
        <w:t xml:space="preserve"> LED </w:t>
      </w:r>
      <w:r>
        <w:rPr>
          <w:rFonts w:hint="eastAsia"/>
          <w:snapToGrid w:val="0"/>
          <w:color w:val="000000"/>
          <w:szCs w:val="20"/>
        </w:rPr>
        <w:t>警告信标灯以及组合信号装置；用于场地保护和民事紧急警告的广域发声器；</w:t>
      </w:r>
      <w:r>
        <w:rPr>
          <w:bCs/>
          <w:snapToGrid w:val="0"/>
          <w:color w:val="000000"/>
          <w:szCs w:val="20"/>
        </w:rPr>
        <w:t xml:space="preserve">PA </w:t>
      </w:r>
      <w:r>
        <w:rPr>
          <w:rFonts w:hint="eastAsia"/>
          <w:bCs/>
          <w:snapToGrid w:val="0"/>
          <w:color w:val="000000"/>
          <w:szCs w:val="20"/>
        </w:rPr>
        <w:t>扬声器；</w:t>
      </w:r>
      <w:r>
        <w:rPr>
          <w:rFonts w:hint="eastAsia"/>
          <w:snapToGrid w:val="0"/>
          <w:color w:val="000000"/>
          <w:szCs w:val="20"/>
        </w:rPr>
        <w:t>击碎玻璃和下压按钮人工呼叫点以及应用软件专用的状态组件和接线盒。</w:t>
      </w:r>
      <w:r>
        <w:rPr>
          <w:rFonts w:hint="eastAsia"/>
          <w:snapToGrid w:val="0"/>
          <w:color w:val="000000"/>
          <w:szCs w:val="20"/>
        </w:rPr>
        <w:t xml:space="preserve">8620 </w:t>
      </w:r>
      <w:r>
        <w:rPr>
          <w:rFonts w:hint="eastAsia"/>
          <w:snapToGrid w:val="0"/>
          <w:color w:val="000000"/>
          <w:szCs w:val="20"/>
        </w:rPr>
        <w:t>号</w:t>
      </w:r>
      <w:proofErr w:type="gramStart"/>
      <w:r>
        <w:rPr>
          <w:rFonts w:hint="eastAsia"/>
          <w:snapToGrid w:val="0"/>
          <w:color w:val="000000"/>
          <w:szCs w:val="20"/>
        </w:rPr>
        <w:t>展位主</w:t>
      </w:r>
      <w:proofErr w:type="gramEnd"/>
      <w:r>
        <w:rPr>
          <w:rFonts w:hint="eastAsia"/>
          <w:snapToGrid w:val="0"/>
          <w:color w:val="000000"/>
          <w:szCs w:val="20"/>
        </w:rPr>
        <w:t>推面向危险区域、海洋和工业环境装置的产品系列的典型产品。</w:t>
      </w:r>
      <w:r>
        <w:rPr>
          <w:rFonts w:hint="eastAsia"/>
          <w:snapToGrid w:val="0"/>
          <w:color w:val="000000"/>
          <w:szCs w:val="20"/>
        </w:rPr>
        <w:t xml:space="preserve"> </w:t>
      </w:r>
    </w:p>
    <w:p>
      <w:pPr>
        <w:widowControl w:val="0"/>
        <w:tabs>
          <w:tab w:val="left" w:pos="851"/>
          <w:tab w:val="right" w:pos="9072"/>
        </w:tabs>
        <w:spacing w:after="0" w:line="240" w:lineRule="auto"/>
        <w:rPr>
          <w:bCs/>
          <w:snapToGrid w:val="0"/>
          <w:color w:val="000000"/>
          <w:szCs w:val="20"/>
        </w:rPr>
      </w:pPr>
    </w:p>
    <w:p>
      <w:pPr>
        <w:widowControl w:val="0"/>
        <w:tabs>
          <w:tab w:val="left" w:pos="851"/>
          <w:tab w:val="right" w:pos="9072"/>
        </w:tabs>
        <w:spacing w:after="0" w:line="240" w:lineRule="auto"/>
        <w:rPr>
          <w:bCs/>
          <w:snapToGrid w:val="0"/>
          <w:color w:val="000000"/>
          <w:szCs w:val="20"/>
        </w:rPr>
      </w:pPr>
      <w:bookmarkStart w:id="0" w:name="_Hlk81501271"/>
      <w:r>
        <w:rPr>
          <w:rFonts w:hint="eastAsia"/>
          <w:snapToGrid w:val="0"/>
          <w:color w:val="000000"/>
          <w:szCs w:val="20"/>
        </w:rPr>
        <w:t>E2S</w:t>
      </w:r>
      <w:r>
        <w:rPr>
          <w:rFonts w:hint="eastAsia"/>
          <w:snapToGrid w:val="0"/>
          <w:color w:val="000000"/>
          <w:szCs w:val="20"/>
        </w:rPr>
        <w:t>视听信号装置采用</w:t>
      </w:r>
      <w:r>
        <w:rPr>
          <w:rFonts w:hint="eastAsia"/>
          <w:snapToGrid w:val="0"/>
          <w:color w:val="000000"/>
          <w:szCs w:val="20"/>
        </w:rPr>
        <w:t>316L</w:t>
      </w:r>
      <w:r>
        <w:rPr>
          <w:rFonts w:hint="eastAsia"/>
          <w:snapToGrid w:val="0"/>
          <w:color w:val="000000"/>
          <w:szCs w:val="20"/>
        </w:rPr>
        <w:t>不锈钢、坚固的</w:t>
      </w:r>
      <w:r>
        <w:rPr>
          <w:rFonts w:hint="eastAsia"/>
          <w:snapToGrid w:val="0"/>
          <w:color w:val="000000"/>
          <w:szCs w:val="20"/>
        </w:rPr>
        <w:t>GRP</w:t>
      </w:r>
      <w:r>
        <w:rPr>
          <w:rFonts w:hint="eastAsia"/>
          <w:snapToGrid w:val="0"/>
          <w:color w:val="000000"/>
          <w:szCs w:val="20"/>
        </w:rPr>
        <w:t>或防腐蚀船用级无铜</w:t>
      </w:r>
      <w:r>
        <w:rPr>
          <w:rFonts w:hint="eastAsia"/>
          <w:snapToGrid w:val="0"/>
          <w:color w:val="000000"/>
          <w:szCs w:val="20"/>
        </w:rPr>
        <w:t>LM6</w:t>
      </w:r>
      <w:r>
        <w:rPr>
          <w:rFonts w:hint="eastAsia"/>
          <w:snapToGrid w:val="0"/>
          <w:color w:val="000000"/>
          <w:szCs w:val="20"/>
        </w:rPr>
        <w:t>铝制外壳的声学或灯光引擎，为指定者提供无与伦比的外壳材料选择，以匹配最佳预期应用软件。</w:t>
      </w:r>
      <w:bookmarkEnd w:id="0"/>
      <w:r>
        <w:rPr>
          <w:rFonts w:hint="eastAsia"/>
          <w:snapToGrid w:val="0"/>
          <w:color w:val="000000"/>
          <w:szCs w:val="20"/>
        </w:rPr>
        <w:t>所有</w:t>
      </w:r>
      <w:proofErr w:type="gramStart"/>
      <w:r>
        <w:rPr>
          <w:rFonts w:hint="eastAsia"/>
          <w:snapToGrid w:val="0"/>
          <w:color w:val="000000"/>
          <w:szCs w:val="20"/>
        </w:rPr>
        <w:t>设备均主打</w:t>
      </w:r>
      <w:proofErr w:type="gramEnd"/>
      <w:r>
        <w:rPr>
          <w:rFonts w:hint="eastAsia"/>
          <w:snapToGrid w:val="0"/>
          <w:color w:val="000000"/>
          <w:szCs w:val="20"/>
        </w:rPr>
        <w:t>低</w:t>
      </w:r>
      <w:r>
        <w:rPr>
          <w:rFonts w:hint="eastAsia"/>
          <w:bCs/>
          <w:snapToGrid w:val="0"/>
          <w:color w:val="000000"/>
          <w:szCs w:val="20"/>
        </w:rPr>
        <w:t>浪涌</w:t>
      </w:r>
      <w:r>
        <w:rPr>
          <w:rFonts w:hint="eastAsia"/>
          <w:snapToGrid w:val="0"/>
          <w:color w:val="000000"/>
          <w:szCs w:val="20"/>
        </w:rPr>
        <w:t>和运行电流消耗的高效电路。报警喇叭发声器的输出噪音等级高达</w:t>
      </w:r>
      <w:r>
        <w:rPr>
          <w:rFonts w:hint="eastAsia"/>
          <w:snapToGrid w:val="0"/>
          <w:color w:val="000000"/>
          <w:szCs w:val="20"/>
        </w:rPr>
        <w:t xml:space="preserve"> 125 dB(A)</w:t>
      </w:r>
      <w:r>
        <w:rPr>
          <w:rFonts w:hint="eastAsia"/>
          <w:snapToGrid w:val="0"/>
          <w:color w:val="000000"/>
          <w:szCs w:val="20"/>
        </w:rPr>
        <w:t>，信标灯的发光强度超过</w:t>
      </w:r>
      <w:r>
        <w:rPr>
          <w:rFonts w:hint="eastAsia"/>
          <w:snapToGrid w:val="0"/>
          <w:color w:val="000000"/>
          <w:szCs w:val="20"/>
        </w:rPr>
        <w:t xml:space="preserve"> 1,250 </w:t>
      </w:r>
      <w:r>
        <w:rPr>
          <w:rFonts w:hint="eastAsia"/>
          <w:snapToGrid w:val="0"/>
          <w:color w:val="000000"/>
          <w:szCs w:val="20"/>
        </w:rPr>
        <w:t>有效坎德拉。信标灯可采用</w:t>
      </w:r>
      <w:proofErr w:type="gramStart"/>
      <w:r>
        <w:rPr>
          <w:rFonts w:hint="eastAsia"/>
          <w:snapToGrid w:val="0"/>
          <w:color w:val="000000"/>
          <w:szCs w:val="20"/>
        </w:rPr>
        <w:t>有超亮闪光</w:t>
      </w:r>
      <w:proofErr w:type="gramEnd"/>
      <w:r>
        <w:rPr>
          <w:rFonts w:hint="eastAsia"/>
          <w:snapToGrid w:val="0"/>
          <w:color w:val="000000"/>
          <w:szCs w:val="20"/>
        </w:rPr>
        <w:t>要求的氙气管以及具有五种闪光频率和两种稳定模式的</w:t>
      </w:r>
      <w:r>
        <w:rPr>
          <w:rFonts w:hint="eastAsia"/>
          <w:snapToGrid w:val="0"/>
          <w:color w:val="000000"/>
          <w:szCs w:val="20"/>
        </w:rPr>
        <w:t xml:space="preserve"> LED </w:t>
      </w:r>
      <w:r>
        <w:rPr>
          <w:rFonts w:hint="eastAsia"/>
          <w:snapToGrid w:val="0"/>
          <w:color w:val="000000"/>
          <w:szCs w:val="20"/>
        </w:rPr>
        <w:t>阵列。所有产品均获得世界领先国际和区域政府部门授予的多项第三方审批文件。</w:t>
      </w:r>
      <w:r>
        <w:rPr>
          <w:rFonts w:hint="eastAsia"/>
          <w:snapToGrid w:val="0"/>
          <w:color w:val="000000"/>
          <w:szCs w:val="20"/>
        </w:rPr>
        <w:t xml:space="preserve"> </w:t>
      </w:r>
    </w:p>
    <w:p>
      <w:pPr>
        <w:widowControl w:val="0"/>
        <w:tabs>
          <w:tab w:val="left" w:pos="851"/>
          <w:tab w:val="right" w:pos="9072"/>
        </w:tabs>
        <w:spacing w:after="0" w:line="240" w:lineRule="auto"/>
        <w:rPr>
          <w:bCs/>
          <w:snapToGrid w:val="0"/>
          <w:color w:val="000000"/>
          <w:szCs w:val="20"/>
        </w:rPr>
      </w:pPr>
    </w:p>
    <w:p>
      <w:pPr>
        <w:widowControl w:val="0"/>
        <w:tabs>
          <w:tab w:val="left" w:pos="851"/>
          <w:tab w:val="right" w:pos="9072"/>
        </w:tabs>
        <w:spacing w:after="0" w:line="240" w:lineRule="auto"/>
        <w:rPr>
          <w:bCs/>
          <w:snapToGrid w:val="0"/>
          <w:color w:val="000000"/>
          <w:szCs w:val="20"/>
        </w:rPr>
      </w:pPr>
      <w:r>
        <w:rPr>
          <w:rFonts w:hint="eastAsia"/>
          <w:snapToGrid w:val="0"/>
          <w:color w:val="000000"/>
          <w:szCs w:val="20"/>
        </w:rPr>
        <w:t xml:space="preserve">E2S </w:t>
      </w:r>
      <w:r>
        <w:rPr>
          <w:rFonts w:hint="eastAsia"/>
          <w:snapToGrid w:val="0"/>
          <w:color w:val="000000"/>
          <w:szCs w:val="20"/>
        </w:rPr>
        <w:t>是一家能够提供符合</w:t>
      </w:r>
      <w:r>
        <w:rPr>
          <w:rFonts w:hint="eastAsia"/>
          <w:snapToGrid w:val="0"/>
          <w:color w:val="000000"/>
          <w:szCs w:val="20"/>
        </w:rPr>
        <w:t xml:space="preserve"> SIL2 </w:t>
      </w:r>
      <w:r>
        <w:rPr>
          <w:rFonts w:hint="eastAsia"/>
          <w:snapToGrid w:val="0"/>
          <w:color w:val="000000"/>
          <w:szCs w:val="20"/>
        </w:rPr>
        <w:t>到</w:t>
      </w:r>
      <w:r>
        <w:rPr>
          <w:rFonts w:hint="eastAsia"/>
          <w:snapToGrid w:val="0"/>
          <w:color w:val="000000"/>
          <w:szCs w:val="20"/>
        </w:rPr>
        <w:t xml:space="preserve"> IEC 61508 </w:t>
      </w:r>
      <w:r>
        <w:rPr>
          <w:rFonts w:hint="eastAsia"/>
          <w:snapToGrid w:val="0"/>
          <w:color w:val="000000"/>
          <w:szCs w:val="20"/>
        </w:rPr>
        <w:t>等各种规范且涵盖三种不同外壳材料的全套范围报警喇叭发声器、氙气闪光信标灯和人工呼叫点的报警信号装置制造商。这种独特的功能赋予系统集成商根据应用的环境要求选择最佳装置的选择权，并让他们更有信心为安全完整性等级更高的关键生命安全系统制定全套信号和激活包。</w:t>
      </w:r>
    </w:p>
    <w:p>
      <w:pPr>
        <w:widowControl w:val="0"/>
        <w:tabs>
          <w:tab w:val="left" w:pos="851"/>
          <w:tab w:val="right" w:pos="9072"/>
        </w:tabs>
        <w:spacing w:after="0" w:line="240" w:lineRule="auto"/>
        <w:rPr>
          <w:bCs/>
          <w:snapToGrid w:val="0"/>
          <w:color w:val="000000"/>
          <w:szCs w:val="20"/>
        </w:rPr>
      </w:pPr>
    </w:p>
    <w:p>
      <w:pPr>
        <w:widowControl w:val="0"/>
        <w:tabs>
          <w:tab w:val="left" w:pos="851"/>
          <w:tab w:val="right" w:pos="9072"/>
        </w:tabs>
        <w:spacing w:after="0" w:line="240" w:lineRule="auto"/>
        <w:rPr>
          <w:bCs/>
          <w:snapToGrid w:val="0"/>
          <w:color w:val="000000"/>
          <w:szCs w:val="20"/>
        </w:rPr>
      </w:pPr>
      <w:r>
        <w:rPr>
          <w:rFonts w:hint="eastAsia"/>
          <w:snapToGrid w:val="0"/>
          <w:color w:val="000000"/>
          <w:szCs w:val="20"/>
        </w:rPr>
        <w:t>同时展出的还有公司的工厂配置报警条和状态指示灯，在需要指示和警示多种条件的气体检测和过程控制应用时，可降低采购和安装成本。</w:t>
      </w:r>
    </w:p>
    <w:p>
      <w:pPr>
        <w:widowControl w:val="0"/>
        <w:tabs>
          <w:tab w:val="left" w:pos="851"/>
          <w:tab w:val="right" w:pos="9072"/>
        </w:tabs>
        <w:spacing w:after="0" w:line="240" w:lineRule="auto"/>
        <w:rPr>
          <w:bCs/>
          <w:snapToGrid w:val="0"/>
          <w:color w:val="000000"/>
          <w:szCs w:val="20"/>
        </w:rPr>
      </w:pPr>
    </w:p>
    <w:p>
      <w:pPr>
        <w:widowControl w:val="0"/>
        <w:tabs>
          <w:tab w:val="left" w:pos="851"/>
          <w:tab w:val="right" w:pos="9072"/>
        </w:tabs>
        <w:spacing w:after="0" w:line="240" w:lineRule="auto"/>
        <w:rPr>
          <w:bCs/>
          <w:snapToGrid w:val="0"/>
          <w:color w:val="000000"/>
          <w:szCs w:val="20"/>
        </w:rPr>
      </w:pPr>
      <w:r>
        <w:rPr>
          <w:rFonts w:hint="eastAsia"/>
          <w:snapToGrid w:val="0"/>
          <w:color w:val="000000"/>
          <w:szCs w:val="20"/>
        </w:rPr>
        <w:t xml:space="preserve">*** </w:t>
      </w:r>
      <w:r>
        <w:rPr>
          <w:rFonts w:hint="eastAsia"/>
          <w:snapToGrid w:val="0"/>
          <w:color w:val="000000"/>
          <w:szCs w:val="20"/>
        </w:rPr>
        <w:t>结尾：正文</w:t>
      </w:r>
      <w:r>
        <w:rPr>
          <w:rFonts w:hint="eastAsia"/>
          <w:snapToGrid w:val="0"/>
          <w:color w:val="000000"/>
          <w:szCs w:val="20"/>
        </w:rPr>
        <w:t>2</w:t>
      </w:r>
      <w:r>
        <w:rPr>
          <w:snapToGrid w:val="0"/>
          <w:color w:val="000000"/>
          <w:szCs w:val="20"/>
        </w:rPr>
        <w:t>89</w:t>
      </w:r>
      <w:r>
        <w:rPr>
          <w:rFonts w:hint="eastAsia"/>
          <w:snapToGrid w:val="0"/>
          <w:color w:val="000000"/>
          <w:szCs w:val="20"/>
        </w:rPr>
        <w:t>字</w:t>
      </w:r>
      <w:r>
        <w:rPr>
          <w:rFonts w:hint="eastAsia"/>
          <w:snapToGrid w:val="0"/>
          <w:color w:val="000000"/>
          <w:szCs w:val="20"/>
        </w:rPr>
        <w:t xml:space="preserve"> ***</w:t>
      </w:r>
    </w:p>
    <w:p>
      <w:pPr>
        <w:spacing w:after="0" w:line="240" w:lineRule="auto"/>
        <w:rPr>
          <w:rFonts w:ascii="MingLiU" w:eastAsia="MingLiU" w:hAnsi="MingLiU"/>
          <w:lang w:val="pt-BR"/>
        </w:rPr>
      </w:pPr>
    </w:p>
    <w:p>
      <w:pPr>
        <w:spacing w:after="0" w:line="240" w:lineRule="auto"/>
        <w:rPr>
          <w:b/>
          <w:szCs w:val="24"/>
          <w:lang w:val="zh-CN"/>
        </w:rPr>
      </w:pPr>
      <w:r>
        <w:rPr>
          <w:b/>
          <w:szCs w:val="24"/>
          <w:lang w:val="zh-CN"/>
        </w:rPr>
        <w:br w:type="page"/>
      </w:r>
    </w:p>
    <w:p>
      <w:pPr>
        <w:spacing w:line="260" w:lineRule="auto"/>
        <w:rPr>
          <w:b/>
          <w:szCs w:val="24"/>
        </w:rPr>
      </w:pPr>
      <w:r>
        <w:rPr>
          <w:rFonts w:hint="eastAsia"/>
          <w:b/>
          <w:szCs w:val="24"/>
          <w:lang w:val="zh-CN"/>
        </w:rPr>
        <w:lastRenderedPageBreak/>
        <w:t>编者按</w:t>
      </w:r>
    </w:p>
    <w:p>
      <w:pPr>
        <w:spacing w:line="260" w:lineRule="auto"/>
        <w:rPr>
          <w:szCs w:val="24"/>
        </w:rPr>
      </w:pPr>
      <w:r>
        <w:rPr>
          <w:rFonts w:hint="eastAsia"/>
          <w:szCs w:val="24"/>
          <w:lang w:val="zh-CN"/>
        </w:rPr>
        <w:t>所有后续问询</w:t>
      </w:r>
      <w:r>
        <w:rPr>
          <w:rFonts w:hint="eastAsia"/>
          <w:szCs w:val="24"/>
        </w:rPr>
        <w:t>，</w:t>
      </w:r>
      <w:r>
        <w:rPr>
          <w:rFonts w:hint="eastAsia"/>
          <w:szCs w:val="24"/>
          <w:lang w:val="zh-CN"/>
        </w:rPr>
        <w:t>请联系以下人员</w:t>
      </w:r>
      <w:r>
        <w:rPr>
          <w:rFonts w:hint="eastAsia"/>
          <w:szCs w:val="24"/>
        </w:rPr>
        <w:t>：</w:t>
      </w:r>
      <w:r>
        <w:rPr>
          <w:szCs w:val="24"/>
        </w:rPr>
        <w:tab/>
      </w:r>
    </w:p>
    <w:p>
      <w:pPr>
        <w:spacing w:after="0"/>
        <w:rPr>
          <w:szCs w:val="24"/>
        </w:rPr>
      </w:pPr>
      <w:r>
        <w:rPr>
          <w:noProof/>
          <w:szCs w:val="24"/>
        </w:rPr>
        <w:t>Nigel May</w:t>
      </w:r>
      <w:r>
        <w:rPr>
          <w:szCs w:val="24"/>
        </w:rPr>
        <w:tab/>
      </w:r>
    </w:p>
    <w:p>
      <w:pPr>
        <w:spacing w:after="0"/>
        <w:rPr>
          <w:szCs w:val="24"/>
        </w:rPr>
      </w:pPr>
      <w:r>
        <w:rPr>
          <w:noProof/>
          <w:szCs w:val="24"/>
        </w:rPr>
        <w:t>Parkfield Communications Limited</w:t>
      </w:r>
    </w:p>
    <w:p>
      <w:pPr>
        <w:spacing w:after="0"/>
        <w:rPr>
          <w:szCs w:val="24"/>
        </w:rPr>
      </w:pPr>
      <w:r>
        <w:rPr>
          <w:noProof/>
          <w:szCs w:val="24"/>
        </w:rPr>
        <w:t>Parkfield House</w:t>
      </w:r>
    </w:p>
    <w:p>
      <w:pPr>
        <w:spacing w:after="0"/>
        <w:rPr>
          <w:szCs w:val="24"/>
        </w:rPr>
      </w:pPr>
      <w:r>
        <w:rPr>
          <w:noProof/>
          <w:szCs w:val="24"/>
        </w:rPr>
        <w:t>Damerham</w:t>
      </w:r>
    </w:p>
    <w:p>
      <w:pPr>
        <w:spacing w:after="0"/>
        <w:rPr>
          <w:szCs w:val="24"/>
        </w:rPr>
      </w:pPr>
      <w:r>
        <w:rPr>
          <w:noProof/>
          <w:szCs w:val="24"/>
        </w:rPr>
        <w:t>SP6 3HQ</w:t>
      </w:r>
    </w:p>
    <w:p>
      <w:pPr>
        <w:spacing w:after="0"/>
        <w:rPr>
          <w:szCs w:val="24"/>
        </w:rPr>
      </w:pPr>
      <w:r>
        <w:rPr>
          <w:noProof/>
          <w:szCs w:val="24"/>
        </w:rPr>
        <w:t>Great Britain</w:t>
      </w:r>
    </w:p>
    <w:p>
      <w:pPr>
        <w:spacing w:after="0" w:line="260" w:lineRule="auto"/>
        <w:rPr>
          <w:szCs w:val="24"/>
        </w:rPr>
      </w:pPr>
      <w:r>
        <w:rPr>
          <w:rFonts w:hint="eastAsia"/>
          <w:szCs w:val="24"/>
          <w:lang w:val="zh-CN"/>
        </w:rPr>
        <w:t>电话</w:t>
      </w:r>
      <w:r>
        <w:rPr>
          <w:rFonts w:hint="eastAsia"/>
          <w:szCs w:val="24"/>
        </w:rPr>
        <w:t>：</w:t>
      </w:r>
      <w:r>
        <w:rPr>
          <w:szCs w:val="24"/>
        </w:rPr>
        <w:t xml:space="preserve"> + 44 (0)1725 518321</w:t>
      </w:r>
    </w:p>
    <w:p>
      <w:pPr>
        <w:spacing w:after="0"/>
        <w:rPr>
          <w:szCs w:val="24"/>
        </w:rPr>
      </w:pPr>
      <w:hyperlink r:id="rId9" w:history="1">
        <w:r>
          <w:rPr>
            <w:rStyle w:val="Hyperlink"/>
            <w:rFonts w:cs="Calibri"/>
            <w:noProof/>
            <w:szCs w:val="24"/>
          </w:rPr>
          <w:t>nigel.may@parkfield.co.uk</w:t>
        </w:r>
      </w:hyperlink>
      <w:r>
        <w:rPr>
          <w:noProof/>
          <w:szCs w:val="24"/>
        </w:rPr>
        <w:t xml:space="preserve"> </w:t>
      </w:r>
    </w:p>
    <w:p>
      <w:pPr>
        <w:spacing w:after="0"/>
        <w:rPr>
          <w:szCs w:val="24"/>
        </w:rPr>
      </w:pPr>
      <w:hyperlink r:id="rId10" w:history="1">
        <w:r>
          <w:rPr>
            <w:rStyle w:val="Hyperlink"/>
            <w:rFonts w:cs="Calibri"/>
            <w:noProof/>
            <w:szCs w:val="24"/>
          </w:rPr>
          <w:t>parkfield.co.uk</w:t>
        </w:r>
      </w:hyperlink>
      <w:r>
        <w:rPr>
          <w:noProof/>
          <w:szCs w:val="24"/>
        </w:rPr>
        <w:t xml:space="preserve"> </w:t>
      </w:r>
    </w:p>
    <w:p>
      <w:pPr>
        <w:spacing w:line="260" w:lineRule="auto"/>
        <w:rPr>
          <w:szCs w:val="24"/>
        </w:rPr>
      </w:pPr>
      <w:r>
        <w:rPr>
          <w:szCs w:val="24"/>
        </w:rPr>
        <w:br/>
        <w:t>E2S</w:t>
      </w:r>
      <w:r>
        <w:rPr>
          <w:rFonts w:hint="eastAsia"/>
          <w:szCs w:val="24"/>
          <w:lang w:val="zh-CN"/>
        </w:rPr>
        <w:t>是世界领先的独立信号产品制造商</w:t>
      </w:r>
      <w:r>
        <w:rPr>
          <w:rFonts w:hint="eastAsia"/>
          <w:szCs w:val="24"/>
        </w:rPr>
        <w:t>，</w:t>
      </w:r>
      <w:r>
        <w:rPr>
          <w:rFonts w:hint="eastAsia"/>
          <w:szCs w:val="24"/>
          <w:lang w:val="zh-CN"/>
        </w:rPr>
        <w:t>设计并制造全套工业环境、海洋环境以及危险区域环境用信号产品。公司总部位于英格兰西伦敦。</w:t>
      </w:r>
      <w:r>
        <w:rPr>
          <w:szCs w:val="24"/>
          <w:lang w:val="en-US"/>
        </w:rPr>
        <w:t>E2S</w:t>
      </w:r>
      <w:r>
        <w:rPr>
          <w:rFonts w:hint="eastAsia"/>
          <w:szCs w:val="24"/>
          <w:lang w:val="zh-CN"/>
        </w:rPr>
        <w:t>产品通过销售网络行销全球。经销商详情见公司网站。另外</w:t>
      </w:r>
      <w:r>
        <w:rPr>
          <w:rFonts w:hint="eastAsia"/>
          <w:szCs w:val="24"/>
          <w:lang w:val="en-US"/>
        </w:rPr>
        <w:t>，</w:t>
      </w:r>
      <w:r>
        <w:rPr>
          <w:szCs w:val="24"/>
          <w:lang w:val="en-US"/>
        </w:rPr>
        <w:t>E2S</w:t>
      </w:r>
      <w:r>
        <w:rPr>
          <w:rFonts w:hint="eastAsia"/>
          <w:szCs w:val="24"/>
          <w:lang w:val="zh-CN"/>
        </w:rPr>
        <w:t>在得克萨斯州休斯敦设有专门的经销中心</w:t>
      </w:r>
      <w:r>
        <w:rPr>
          <w:rFonts w:hint="eastAsia"/>
          <w:szCs w:val="24"/>
          <w:lang w:val="en-US"/>
        </w:rPr>
        <w:t>，</w:t>
      </w:r>
      <w:r>
        <w:rPr>
          <w:rFonts w:hint="eastAsia"/>
          <w:szCs w:val="24"/>
          <w:lang w:val="zh-CN"/>
        </w:rPr>
        <w:t>负责当地产品经销和技术支持。</w:t>
      </w:r>
    </w:p>
    <w:p>
      <w:pPr>
        <w:spacing w:after="0"/>
        <w:rPr>
          <w:szCs w:val="24"/>
        </w:rPr>
      </w:pPr>
      <w:r>
        <w:rPr>
          <w:noProof/>
          <w:szCs w:val="24"/>
        </w:rPr>
        <w:t>E2S Warning Signals</w:t>
      </w:r>
    </w:p>
    <w:p>
      <w:pPr>
        <w:spacing w:after="0"/>
        <w:rPr>
          <w:szCs w:val="24"/>
        </w:rPr>
      </w:pPr>
      <w:r>
        <w:rPr>
          <w:noProof/>
          <w:szCs w:val="24"/>
        </w:rPr>
        <w:t>Impress House</w:t>
      </w:r>
    </w:p>
    <w:p>
      <w:pPr>
        <w:spacing w:after="0"/>
        <w:rPr>
          <w:szCs w:val="24"/>
        </w:rPr>
      </w:pPr>
      <w:r>
        <w:rPr>
          <w:noProof/>
          <w:szCs w:val="24"/>
        </w:rPr>
        <w:t>Mansell Road</w:t>
      </w:r>
    </w:p>
    <w:p>
      <w:pPr>
        <w:spacing w:after="0"/>
        <w:rPr>
          <w:szCs w:val="24"/>
        </w:rPr>
      </w:pPr>
      <w:r>
        <w:rPr>
          <w:noProof/>
          <w:szCs w:val="24"/>
        </w:rPr>
        <w:t>London</w:t>
      </w:r>
    </w:p>
    <w:p>
      <w:pPr>
        <w:spacing w:after="0"/>
        <w:rPr>
          <w:szCs w:val="24"/>
        </w:rPr>
      </w:pPr>
      <w:r>
        <w:rPr>
          <w:noProof/>
          <w:szCs w:val="24"/>
        </w:rPr>
        <w:t>W3 7QH</w:t>
      </w:r>
    </w:p>
    <w:p>
      <w:pPr>
        <w:spacing w:after="0"/>
        <w:rPr>
          <w:szCs w:val="24"/>
        </w:rPr>
      </w:pPr>
      <w:r>
        <w:rPr>
          <w:noProof/>
          <w:szCs w:val="24"/>
        </w:rPr>
        <w:t>Great Britain</w:t>
      </w:r>
    </w:p>
    <w:p>
      <w:pPr>
        <w:spacing w:after="0" w:line="260" w:lineRule="auto"/>
        <w:rPr>
          <w:szCs w:val="24"/>
        </w:rPr>
      </w:pPr>
      <w:r>
        <w:rPr>
          <w:rFonts w:hint="eastAsia"/>
          <w:szCs w:val="24"/>
          <w:lang w:val="zh-CN"/>
        </w:rPr>
        <w:t>电话：</w:t>
      </w:r>
      <w:r>
        <w:rPr>
          <w:szCs w:val="24"/>
        </w:rPr>
        <w:t xml:space="preserve"> + 44 (0)20 8743 8880</w:t>
      </w:r>
    </w:p>
    <w:p>
      <w:pPr>
        <w:spacing w:after="0" w:line="260" w:lineRule="auto"/>
        <w:rPr>
          <w:szCs w:val="24"/>
        </w:rPr>
      </w:pPr>
      <w:r>
        <w:rPr>
          <w:rFonts w:hint="eastAsia"/>
          <w:szCs w:val="24"/>
          <w:lang w:val="zh-CN"/>
        </w:rPr>
        <w:t>传真：</w:t>
      </w:r>
      <w:r>
        <w:rPr>
          <w:szCs w:val="24"/>
        </w:rPr>
        <w:t xml:space="preserve"> + 44 (0)20 8740 4200</w:t>
      </w:r>
    </w:p>
    <w:p>
      <w:pPr>
        <w:spacing w:after="0"/>
        <w:rPr>
          <w:szCs w:val="24"/>
        </w:rPr>
      </w:pPr>
      <w:hyperlink r:id="rId11" w:history="1">
        <w:r>
          <w:rPr>
            <w:rStyle w:val="Hyperlink"/>
            <w:rFonts w:cs="Calibri"/>
            <w:noProof/>
            <w:szCs w:val="24"/>
          </w:rPr>
          <w:t>sales@e2s.com</w:t>
        </w:r>
      </w:hyperlink>
      <w:r>
        <w:rPr>
          <w:noProof/>
          <w:szCs w:val="24"/>
        </w:rPr>
        <w:t xml:space="preserve"> </w:t>
      </w:r>
    </w:p>
    <w:p>
      <w:pPr>
        <w:tabs>
          <w:tab w:val="left" w:pos="851"/>
          <w:tab w:val="right" w:pos="9072"/>
        </w:tabs>
        <w:rPr>
          <w:szCs w:val="24"/>
        </w:rPr>
      </w:pPr>
      <w:hyperlink r:id="rId12" w:history="1">
        <w:r>
          <w:rPr>
            <w:rStyle w:val="Hyperlink"/>
            <w:noProof/>
            <w:szCs w:val="24"/>
          </w:rPr>
          <w:t>e2s.com</w:t>
        </w:r>
      </w:hyperlink>
    </w:p>
    <w:p/>
    <w:p>
      <w:pPr>
        <w:spacing w:after="0" w:line="240" w:lineRule="auto"/>
      </w:pP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p>
    <w:sectPr>
      <w:pgSz w:w="11906" w:h="16838"/>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revisionView w:inkAnnotations="0"/>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SimSun"/>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Pr>
      <w:rFonts w:cs="Times New Roman"/>
      <w:color w:val="0563C1"/>
      <w:u w:val="single"/>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zh-CN"/>
    </w:rPr>
  </w:style>
  <w:style w:type="character" w:customStyle="1" w:styleId="CommentTextChar">
    <w:name w:val="Comment Text Char"/>
    <w:basedOn w:val="DefaultParagraphFont"/>
    <w:link w:val="CommentText"/>
    <w:uiPriority w:val="99"/>
    <w:semiHidden/>
    <w:qFormat/>
    <w:rPr>
      <w:rFonts w:eastAsia="SimSun"/>
      <w:sz w:val="20"/>
      <w:lang w:eastAsia="zh-CN"/>
    </w:rPr>
  </w:style>
  <w:style w:type="character" w:customStyle="1" w:styleId="HeaderChar">
    <w:name w:val="Header Char"/>
    <w:basedOn w:val="DefaultParagraphFont"/>
    <w:link w:val="Header"/>
    <w:uiPriority w:val="99"/>
    <w:qFormat/>
    <w:rPr>
      <w:rFonts w:eastAsia="SimSun"/>
      <w:szCs w:val="22"/>
      <w:lang w:eastAsia="zh-CN"/>
    </w:rPr>
  </w:style>
  <w:style w:type="character" w:customStyle="1" w:styleId="FooterChar">
    <w:name w:val="Footer Char"/>
    <w:basedOn w:val="DefaultParagraphFont"/>
    <w:link w:val="Footer"/>
    <w:uiPriority w:val="99"/>
    <w:qFormat/>
    <w:rPr>
      <w:rFonts w:eastAsia="SimSun"/>
      <w:szCs w:val="22"/>
      <w:lang w:eastAsia="zh-CN"/>
    </w:rPr>
  </w:style>
  <w:style w:type="paragraph" w:customStyle="1" w:styleId="Heading">
    <w:name w:val="Heading"/>
    <w:basedOn w:val="Normal"/>
    <w:next w:val="BodyText"/>
    <w:qFormat/>
    <w:pPr>
      <w:keepNext/>
      <w:spacing w:before="240" w:after="120"/>
    </w:pPr>
    <w:rPr>
      <w:rFonts w:eastAsia="Microsoft YaHei"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sz w:val="24"/>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sz w:val="2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qFormat/>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153"/>
        <w:tab w:val="right" w:pos="8306"/>
      </w:tabs>
      <w:spacing w:after="0" w:line="240" w:lineRule="auto"/>
    </w:pPr>
  </w:style>
  <w:style w:type="paragraph" w:styleId="Footer">
    <w:name w:val="footer"/>
    <w:basedOn w:val="Normal"/>
    <w:link w:val="FooterChar"/>
    <w:uiPriority w:val="99"/>
    <w:unhideWhenUsed/>
    <w:pPr>
      <w:tabs>
        <w:tab w:val="center" w:pos="4153"/>
        <w:tab w:val="right" w:pos="8306"/>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e2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rkfield.co.uk/e2s/adipec21-cn.docx" TargetMode="External"/><Relationship Id="rId12" Type="http://schemas.openxmlformats.org/officeDocument/2006/relationships/hyperlink" Target="http://www.e2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kfield.co.uk/e2s/adipec21-print.jpg" TargetMode="External"/><Relationship Id="rId11" Type="http://schemas.openxmlformats.org/officeDocument/2006/relationships/hyperlink" Target="mailto:sales@e2s.com" TargetMode="External"/><Relationship Id="rId5" Type="http://schemas.openxmlformats.org/officeDocument/2006/relationships/endnotes" Target="endnotes.xml"/><Relationship Id="rId10" Type="http://schemas.openxmlformats.org/officeDocument/2006/relationships/hyperlink" Target="http://www.parkfield.co.uk" TargetMode="External"/><Relationship Id="rId4" Type="http://schemas.openxmlformats.org/officeDocument/2006/relationships/footnotes" Target="footnotes.xml"/><Relationship Id="rId9" Type="http://schemas.openxmlformats.org/officeDocument/2006/relationships/hyperlink" Target="mailto:nigel.may@parkfield.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dc:description/>
  <cp:lastModifiedBy>Nigel</cp:lastModifiedBy>
  <cp:revision>3</cp:revision>
  <dcterms:created xsi:type="dcterms:W3CDTF">2021-09-15T08:55:00Z</dcterms:created>
  <dcterms:modified xsi:type="dcterms:W3CDTF">2021-09-15T08:56:00Z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