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tabs>
          <w:tab w:val="left" w:pos="851"/>
          <w:tab w:val="right" w:pos="9072"/>
        </w:tabs>
        <w:rPr>
          <w:rFonts w:cs="Arial"/>
          <w:color w:val="C00000"/>
          <w:sz w:val="52"/>
          <w:szCs w:val="52"/>
        </w:rPr>
      </w:pPr>
      <w:r>
        <w:rPr>
          <w:rFonts w:cs="Arial"/>
          <w:color w:val="C00000"/>
          <w:sz w:val="52"/>
          <w:szCs w:val="52"/>
          <w:lang w:eastAsia="en-GB"/>
        </w:rPr>
        <w:t>Informações para a Imprensa</w:t>
      </w:r>
    </w:p>
    <w:p>
      <w:pPr>
        <w:rPr>
          <w:rFonts w:cs="Calibri"/>
          <w:color w:val="000000" w:themeColor="text1"/>
          <w:lang w:eastAsia="en-GB"/>
        </w:rPr>
      </w:pPr>
    </w:p>
    <w:p>
      <w:pPr>
        <w:widowControl/>
        <w:spacing w:after="160" w:line="259" w:lineRule="auto"/>
        <w:rPr>
          <w:rFonts w:eastAsia="Calibri" w:cs="Arial"/>
          <w:snapToGrid/>
          <w:szCs w:val="22"/>
          <w:lang w:eastAsia="en-US"/>
        </w:rPr>
      </w:pPr>
      <w:r>
        <w:rPr>
          <w:rFonts w:eastAsia="Calibri" w:cs="Calibri"/>
          <w:snapToGrid/>
          <w:szCs w:val="22"/>
          <w:lang w:eastAsia="en-US"/>
        </w:rPr>
        <w:t xml:space="preserve">Publicado em </w:t>
      </w:r>
      <w:r>
        <w:rPr>
          <w:rFonts w:eastAsia="Calibri" w:cs="Arial"/>
          <w:snapToGrid/>
          <w:szCs w:val="22"/>
          <w:lang w:eastAsia="en-US"/>
        </w:rPr>
        <w:t>2 de dezembro de 2020</w:t>
      </w:r>
    </w:p>
    <w:p>
      <w:pPr>
        <w:rPr>
          <w:rFonts w:cs="Calibri"/>
          <w:color w:val="000000" w:themeColor="text1"/>
          <w:lang w:eastAsia="en-GB"/>
        </w:rPr>
      </w:pPr>
      <w:r>
        <w:rPr>
          <w:rFonts w:cs="Calibri"/>
          <w:color w:val="000000" w:themeColor="text1"/>
          <w:lang w:eastAsia="en-GB"/>
        </w:rPr>
        <w:t xml:space="preserve">Para baixar imagem de qualidade para impressão 300 dpi, vá para </w:t>
      </w:r>
      <w:r>
        <w:fldChar w:fldCharType="begin"/>
      </w:r>
      <w:r>
        <w:instrText>HYPERLINK "https://www.parkfield.co.uk/e2s/b350-print.jpg"</w:instrText>
      </w:r>
      <w:r>
        <w:fldChar w:fldCharType="separate"/>
      </w:r>
      <w:r>
        <w:rPr>
          <w:rStyle w:val="Hyperlink"/>
          <w:rFonts w:cs="Calibri"/>
          <w:lang w:eastAsia="en-GB"/>
        </w:rPr>
        <w:t>parkfield.co.uk/e2s/b350-print.jpg</w:t>
      </w:r>
      <w:r>
        <w:rPr>
          <w:rStyle w:val="Hyperlink"/>
          <w:rFonts w:cs="Calibri"/>
          <w:lang w:eastAsia="en-GB"/>
        </w:rPr>
        <w:fldChar w:fldCharType="end"/>
      </w:r>
      <w:r>
        <w:rPr>
          <w:rFonts w:cs="Calibri"/>
          <w:color w:val="000000" w:themeColor="text1"/>
          <w:lang w:eastAsia="en-GB"/>
        </w:rPr>
        <w:t xml:space="preserve"> </w:t>
      </w:r>
      <w:r>
        <w:rPr>
          <w:rFonts w:cs="Calibri"/>
          <w:color w:val="000000" w:themeColor="text1"/>
          <w:lang w:eastAsia="en-GB"/>
        </w:rPr>
        <w:br/>
      </w:r>
    </w:p>
    <w:p>
      <w:r>
        <w:rPr>
          <w:rFonts w:cs="Calibri"/>
          <w:color w:val="000000" w:themeColor="text1"/>
          <w:lang w:eastAsia="en-GB"/>
        </w:rPr>
        <w:t xml:space="preserve">Para baixar o texto em arquivo Word, vá para </w:t>
      </w:r>
      <w:r>
        <w:rPr>
          <w:rFonts w:cs="Calibri"/>
          <w:lang w:eastAsia="en-GB"/>
        </w:rPr>
        <w:fldChar w:fldCharType="begin"/>
      </w:r>
      <w:r>
        <w:rPr>
          <w:rFonts w:cs="Calibri"/>
          <w:lang w:eastAsia="en-GB"/>
        </w:rPr>
        <w:instrText xml:space="preserve"> HYPERLINK "https://www.parkfield.co.uk/e2s/b350-br.docx" </w:instrText>
      </w:r>
      <w:r>
        <w:rPr>
          <w:rFonts w:cs="Calibri"/>
          <w:lang w:eastAsia="en-GB"/>
        </w:rPr>
        <w:fldChar w:fldCharType="separate"/>
      </w:r>
      <w:r>
        <w:rPr>
          <w:rStyle w:val="Hyperlink"/>
          <w:rFonts w:cs="Calibri"/>
          <w:lang w:eastAsia="en-GB"/>
        </w:rPr>
        <w:t>parkfield.co.uk/e2s/b350-br.docx</w:t>
      </w:r>
      <w:r>
        <w:rPr>
          <w:rFonts w:cs="Calibri"/>
          <w:lang w:eastAsia="en-GB"/>
        </w:rPr>
        <w:fldChar w:fldCharType="end"/>
      </w:r>
    </w:p>
    <w:p>
      <w:pPr>
        <w:rPr>
          <w:rFonts w:cs="Calibri"/>
          <w:color w:val="000000" w:themeColor="text1"/>
          <w:lang w:eastAsia="en-GB"/>
        </w:rPr>
      </w:pPr>
    </w:p>
    <w:p>
      <w:r>
        <w:rPr>
          <w:rFonts w:cs="Calibri"/>
          <w:color w:val="000000" w:themeColor="text1"/>
          <w:lang w:eastAsia="en-GB"/>
        </w:rPr>
        <w:t xml:space="preserve">Para ver todas as informações, acesse </w:t>
      </w:r>
      <w:r>
        <w:fldChar w:fldCharType="begin"/>
      </w:r>
      <w:r>
        <w:instrText xml:space="preserve"> HYPERLINK "https://www.parkfield.co.uk/e2s/" </w:instrText>
      </w:r>
      <w:r>
        <w:fldChar w:fldCharType="separate"/>
      </w:r>
      <w:r>
        <w:rPr>
          <w:rStyle w:val="Hyperlink"/>
        </w:rPr>
        <w:t>parkfield.co.uk/e2s/</w:t>
      </w:r>
      <w:r>
        <w:rPr>
          <w:rStyle w:val="Hyperlink"/>
        </w:rPr>
        <w:fldChar w:fldCharType="end"/>
      </w:r>
    </w:p>
    <w:p>
      <w:pPr>
        <w:tabs>
          <w:tab w:val="left" w:pos="851"/>
          <w:tab w:val="right" w:pos="9072"/>
        </w:tabs>
        <w:rPr>
          <w:b/>
        </w:rPr>
      </w:pPr>
    </w:p>
    <w:p>
      <w:pPr>
        <w:tabs>
          <w:tab w:val="left" w:pos="851"/>
          <w:tab w:val="right" w:pos="9072"/>
        </w:tabs>
        <w:rPr>
          <w:b/>
        </w:rPr>
      </w:pPr>
      <w:r>
        <w:rPr>
          <w:b/>
        </w:rPr>
        <w:t>E2S atualiza seus sinalizadores com saídas ultrabrilhantes e opções de configuração adicionais</w:t>
      </w:r>
    </w:p>
    <w:p>
      <w:pPr>
        <w:tabs>
          <w:tab w:val="left" w:pos="851"/>
          <w:tab w:val="right" w:pos="9072"/>
        </w:tabs>
        <w:jc w:val="center"/>
        <w:rPr>
          <w:b/>
        </w:rPr>
      </w:pPr>
    </w:p>
    <w:p>
      <w:pPr>
        <w:tabs>
          <w:tab w:val="left" w:pos="851"/>
          <w:tab w:val="right" w:pos="9072"/>
        </w:tabs>
        <w:rPr>
          <w:rFonts w:asciiTheme="minorHAnsi" w:hAnsiTheme="minorHAnsi" w:cstheme="minorHAnsi"/>
          <w:bCs/>
        </w:rPr>
      </w:pPr>
      <w:r>
        <w:rPr>
          <w:rFonts w:asciiTheme="minorHAnsi" w:hAnsiTheme="minorHAnsi"/>
          <w:bCs/>
        </w:rPr>
        <w:t xml:space="preserve">A E2S Warning Signals está comprometida com um programa de melhorias contínuas do produto em resposta aos avanços da tecnologia, mudanças regulatórias e feedback do cliente. </w:t>
      </w:r>
      <w:r>
        <w:t xml:space="preserve">Os produtos mais recentes a serem atualizados são os faróis de sinalização para semáforos </w:t>
      </w:r>
      <w:hyperlink r:id="rId6" w:history="1">
        <w:r>
          <w:rPr>
            <w:rStyle w:val="Hyperlink"/>
            <w:rFonts w:asciiTheme="minorHAnsi" w:hAnsiTheme="minorHAnsi"/>
            <w:bCs/>
          </w:rPr>
          <w:t>B350TLA</w:t>
        </w:r>
      </w:hyperlink>
      <w:r>
        <w:t xml:space="preserve"> que apresentam uma caixa compacta de 100 x 140 mm, ideal para aplicações com espaço limitado ou para montagem direta em máquinas.</w:t>
      </w:r>
      <w:r>
        <w:rPr>
          <w:rFonts w:asciiTheme="minorHAnsi" w:hAnsiTheme="minorHAnsi"/>
        </w:rPr>
        <w:t xml:space="preserve"> </w:t>
      </w:r>
      <w:r>
        <w:rPr>
          <w:rFonts w:asciiTheme="minorHAnsi" w:hAnsiTheme="minorHAnsi"/>
          <w:bCs/>
        </w:rPr>
        <w:t xml:space="preserve"> </w:t>
      </w:r>
      <w:r>
        <w:t xml:space="preserve">As unidades </w:t>
      </w:r>
      <w:hyperlink r:id="rId7" w:history="1">
        <w:r>
          <w:rPr>
            <w:rStyle w:val="Hyperlink"/>
            <w:rFonts w:asciiTheme="minorHAnsi" w:hAnsiTheme="minorHAnsi"/>
            <w:bCs/>
          </w:rPr>
          <w:t>B450TLA</w:t>
        </w:r>
      </w:hyperlink>
      <w:r>
        <w:t xml:space="preserve"> maiores de 140 x 177 mm também foram atualizadas.</w:t>
      </w:r>
      <w:r>
        <w:rPr>
          <w:rFonts w:asciiTheme="minorHAnsi" w:hAnsiTheme="minorHAnsi"/>
          <w:bCs/>
        </w:rPr>
        <w:t xml:space="preserve"> </w:t>
      </w:r>
      <w:r>
        <w:rPr>
          <w:rFonts w:asciiTheme="minorHAnsi" w:hAnsiTheme="minorHAnsi"/>
        </w:rPr>
        <w:t>O mecanismo de luz para ambos consiste em uma matriz de 18 LEDs brancos de alta saída, que fornecem saídas ultrabrilhantes de até 356 candela.</w:t>
      </w:r>
      <w:r>
        <w:rPr>
          <w:rFonts w:asciiTheme="minorHAnsi" w:hAnsiTheme="minorHAnsi"/>
          <w:color w:val="000000"/>
          <w:sz w:val="23"/>
          <w:szCs w:val="23"/>
        </w:rPr>
        <w:t xml:space="preserve"> A lente difusa soldada por ultrassom determina a cor da luz de saída: </w:t>
      </w:r>
      <w:r>
        <w:rPr>
          <w:rFonts w:asciiTheme="minorHAnsi" w:hAnsiTheme="minorHAnsi"/>
        </w:rPr>
        <w:t>âmbar, azul, transparente, verde, vermelho e amarelo são padrão, permitindo a reconfiguração de cores no local e maior flexibilidade na gestão de estoque.</w:t>
      </w:r>
      <w:r>
        <w:rPr>
          <w:rFonts w:asciiTheme="minorHAnsi" w:hAnsiTheme="minorHAnsi"/>
          <w:color w:val="000000"/>
          <w:sz w:val="23"/>
          <w:szCs w:val="23"/>
        </w:rPr>
        <w:t xml:space="preserve"> Existem agora sete padrões de flash, incluindo um padrão temporal para maior eficácia, além de uma saída estável para indicação de status.</w:t>
      </w:r>
    </w:p>
    <w:p>
      <w:pPr>
        <w:tabs>
          <w:tab w:val="left" w:pos="851"/>
          <w:tab w:val="right" w:pos="9072"/>
        </w:tabs>
        <w:rPr>
          <w:rFonts w:asciiTheme="minorHAnsi" w:hAnsiTheme="minorHAnsi" w:cstheme="minorHAnsi"/>
          <w:bCs/>
        </w:rPr>
      </w:pPr>
    </w:p>
    <w:p>
      <w:pPr>
        <w:pStyle w:val="Default"/>
        <w:rPr>
          <w:rFonts w:asciiTheme="minorHAnsi" w:hAnsiTheme="minorHAnsi" w:cstheme="minorHAnsi"/>
          <w:sz w:val="23"/>
          <w:szCs w:val="23"/>
        </w:rPr>
      </w:pPr>
      <w:r>
        <w:rPr>
          <w:rFonts w:asciiTheme="minorHAnsi" w:hAnsiTheme="minorHAnsi"/>
        </w:rPr>
        <w:t>O conector incluído permite que várias unidades sejam empilhadas e os terminais duplos conectáveis ​​simplificam a instalação de cabos para instalações integradas.</w:t>
      </w:r>
      <w:r>
        <w:rPr>
          <w:rFonts w:asciiTheme="minorHAnsi" w:hAnsiTheme="minorHAnsi"/>
          <w:sz w:val="23"/>
          <w:szCs w:val="23"/>
        </w:rPr>
        <w:t xml:space="preserve"> As faixas das tensão de operação são de 10-14 VCC/16-33 VCC e 48-260 VCA/CC, a corrente operacional do flash de 1 Hz é de apenas 88 mA a 24 VCC e a temperatura operacional é de -40 °C a +70 °C.</w:t>
      </w:r>
    </w:p>
    <w:p>
      <w:pPr>
        <w:tabs>
          <w:tab w:val="left" w:pos="851"/>
          <w:tab w:val="right" w:pos="9072"/>
        </w:tabs>
        <w:rPr>
          <w:rFonts w:asciiTheme="minorHAnsi" w:hAnsiTheme="minorHAnsi" w:cstheme="minorHAnsi"/>
          <w:bCs/>
        </w:rPr>
      </w:pPr>
    </w:p>
    <w:p>
      <w:pPr>
        <w:widowControl/>
        <w:autoSpaceDE w:val="0"/>
        <w:autoSpaceDN w:val="0"/>
        <w:adjustRightInd w:val="0"/>
        <w:rPr>
          <w:rFonts w:asciiTheme="minorHAnsi" w:hAnsiTheme="minorHAnsi" w:cstheme="minorHAnsi"/>
        </w:rPr>
      </w:pPr>
      <w:r>
        <w:t xml:space="preserve">Também atualizadas com a mais recente fonte de luz de matriz de 18 LEDs brancos estão as linhas </w:t>
      </w:r>
      <w:hyperlink r:id="rId8" w:history="1">
        <w:r>
          <w:rPr>
            <w:rStyle w:val="Hyperlink"/>
            <w:rFonts w:asciiTheme="minorHAnsi" w:hAnsiTheme="minorHAnsi"/>
            <w:sz w:val="23"/>
            <w:szCs w:val="23"/>
          </w:rPr>
          <w:t>STA</w:t>
        </w:r>
      </w:hyperlink>
      <w:r>
        <w:rPr>
          <w:rFonts w:asciiTheme="minorHAnsi" w:hAnsiTheme="minorHAnsi"/>
          <w:color w:val="000000"/>
          <w:sz w:val="23"/>
          <w:szCs w:val="23"/>
        </w:rPr>
        <w:t xml:space="preserve"> e </w:t>
      </w:r>
      <w:hyperlink r:id="rId9" w:history="1">
        <w:r>
          <w:rPr>
            <w:rStyle w:val="Hyperlink"/>
            <w:rFonts w:asciiTheme="minorHAnsi" w:hAnsiTheme="minorHAnsi"/>
            <w:sz w:val="23"/>
            <w:szCs w:val="23"/>
          </w:rPr>
          <w:t>STB</w:t>
        </w:r>
      </w:hyperlink>
      <w:r>
        <w:t xml:space="preserve"> de sinais empilhados personalizáveis, aprovados pela UL para aplicações gerais de sinalização, como indicação de status, segurança e controle de processo.</w:t>
      </w:r>
      <w:r>
        <w:rPr>
          <w:rFonts w:asciiTheme="minorHAnsi" w:hAnsiTheme="minorHAnsi"/>
          <w:color w:val="000000"/>
          <w:sz w:val="23"/>
          <w:szCs w:val="23"/>
        </w:rPr>
        <w:t xml:space="preserve"> As pilhas STA contêm uma sirene SONF1 compacta de 100 dB (A) para fornecer uma unidade audível/visual integrada; a linha STB é composta por matrizes que possuem apenas sinalizadores. Ambas as versões estão disponíveis com duas, três ou quatro unidades empilhadas que terminam em uma caixa de junção comum por meio de um feixe de fiação interno instalado de fábrica, fornecendo um único ponto de interconexão externo. </w:t>
      </w:r>
      <w:r>
        <w:rPr>
          <w:rFonts w:asciiTheme="minorHAnsi" w:hAnsiTheme="minorHAnsi"/>
        </w:rPr>
        <w:t>As lentes UV estáveis ​​para PC são disponibilizadas nos tons âmbar, azul, transparente, verde, magenta, vermelho e amarelo.</w:t>
      </w:r>
    </w:p>
    <w:p>
      <w:pPr>
        <w:widowControl/>
        <w:autoSpaceDE w:val="0"/>
        <w:autoSpaceDN w:val="0"/>
        <w:adjustRightInd w:val="0"/>
      </w:pPr>
    </w:p>
    <w:p>
      <w:pPr>
        <w:widowControl/>
        <w:autoSpaceDE w:val="0"/>
        <w:autoSpaceDN w:val="0"/>
        <w:adjustRightInd w:val="0"/>
      </w:pPr>
      <w:r>
        <w:t>*** Fim: corpo do texto com 348 palavras ***</w:t>
      </w:r>
    </w:p>
    <w:p>
      <w:pPr>
        <w:widowControl/>
        <w:autoSpaceDE w:val="0"/>
        <w:autoSpaceDN w:val="0"/>
        <w:adjustRightInd w:val="0"/>
      </w:pPr>
    </w:p>
    <w:p>
      <w:pPr>
        <w:widowControl/>
        <w:rPr>
          <w:rFonts w:cs="Arial"/>
          <w:b/>
          <w:bCs/>
        </w:rPr>
      </w:pPr>
      <w:r>
        <w:rPr>
          <w:rFonts w:cs="Arial"/>
          <w:b/>
          <w:bCs/>
        </w:rPr>
        <w:br w:type="page"/>
      </w:r>
    </w:p>
    <w:p>
      <w:pPr>
        <w:rPr>
          <w:rFonts w:cs="Arial"/>
          <w:b/>
        </w:rPr>
      </w:pPr>
      <w:r>
        <w:rPr>
          <w:rFonts w:cs="Arial"/>
          <w:b/>
          <w:bCs/>
        </w:rPr>
        <w:lastRenderedPageBreak/>
        <w:t>Notas para os editores</w:t>
      </w:r>
    </w:p>
    <w:p>
      <w:pPr>
        <w:rPr>
          <w:rFonts w:cs="Arial"/>
        </w:rPr>
      </w:pPr>
    </w:p>
    <w:p>
      <w:pPr>
        <w:rPr>
          <w:rFonts w:cs="Arial"/>
        </w:rPr>
      </w:pPr>
      <w:r>
        <w:rPr>
          <w:rFonts w:cs="Arial"/>
        </w:rPr>
        <w:t>Para consultas, fale com:</w:t>
      </w:r>
      <w:r>
        <w:rPr>
          <w:rFonts w:cs="Arial"/>
        </w:rPr>
        <w:tab/>
      </w:r>
    </w:p>
    <w:p>
      <w:pPr>
        <w:rPr>
          <w:rFonts w:cs="Arial"/>
          <w:lang w:val="en-GB"/>
        </w:rPr>
      </w:pPr>
    </w:p>
    <w:p>
      <w:pPr>
        <w:rPr>
          <w:rFonts w:cs="Arial"/>
          <w:lang w:val="en-GB"/>
        </w:rPr>
      </w:pPr>
      <w:r>
        <w:rPr>
          <w:rFonts w:cs="Arial"/>
          <w:lang w:val="en-GB"/>
        </w:rPr>
        <w:t>Nigel May</w:t>
      </w:r>
      <w:r>
        <w:rPr>
          <w:rFonts w:cs="Arial"/>
          <w:lang w:val="en-GB"/>
        </w:rPr>
        <w:tab/>
      </w:r>
    </w:p>
    <w:p>
      <w:pPr>
        <w:rPr>
          <w:rFonts w:cs="Arial"/>
          <w:lang w:val="en-GB"/>
        </w:rPr>
      </w:pPr>
      <w:r>
        <w:rPr>
          <w:rFonts w:cs="Arial"/>
          <w:lang w:val="en-GB"/>
        </w:rPr>
        <w:t>Parkfield Communications Limited</w:t>
      </w:r>
    </w:p>
    <w:p>
      <w:pPr>
        <w:rPr>
          <w:rFonts w:cs="Arial"/>
          <w:lang w:val="en-GB"/>
        </w:rPr>
      </w:pPr>
      <w:r>
        <w:rPr>
          <w:rFonts w:cs="Arial"/>
          <w:lang w:val="en-GB"/>
        </w:rPr>
        <w:t>Parkfield House</w:t>
      </w:r>
    </w:p>
    <w:p>
      <w:pPr>
        <w:rPr>
          <w:rFonts w:cs="Arial"/>
        </w:rPr>
      </w:pPr>
      <w:r>
        <w:rPr>
          <w:rFonts w:cs="Arial"/>
        </w:rPr>
        <w:t>Damerham</w:t>
      </w:r>
    </w:p>
    <w:p>
      <w:pPr>
        <w:rPr>
          <w:rFonts w:cs="Arial"/>
        </w:rPr>
      </w:pPr>
      <w:r>
        <w:rPr>
          <w:rFonts w:cs="Arial"/>
        </w:rPr>
        <w:t>SP6 3HQ</w:t>
      </w:r>
    </w:p>
    <w:p>
      <w:pPr>
        <w:rPr>
          <w:rFonts w:cs="Arial"/>
        </w:rPr>
      </w:pPr>
      <w:r>
        <w:rPr>
          <w:rFonts w:cs="Arial"/>
        </w:rPr>
        <w:t>Grã-Bretanha</w:t>
      </w:r>
    </w:p>
    <w:p>
      <w:pPr>
        <w:rPr>
          <w:rFonts w:cs="Arial"/>
        </w:rPr>
      </w:pPr>
      <w:r>
        <w:rPr>
          <w:rFonts w:cs="Arial"/>
        </w:rPr>
        <w:t>Tel: + 44 (0)1725 518321</w:t>
      </w:r>
    </w:p>
    <w:bookmarkStart w:id="0" w:name="_GoBack"/>
    <w:bookmarkEnd w:id="0"/>
    <w:p>
      <w:pPr>
        <w:rPr>
          <w:rFonts w:cs="Arial"/>
          <w:lang w:val="en-GB"/>
        </w:rPr>
      </w:pPr>
      <w:r>
        <w:rPr>
          <w:rFonts w:cstheme="minorBidi"/>
          <w:lang w:val="en-GB"/>
        </w:rPr>
        <w:fldChar w:fldCharType="begin"/>
      </w:r>
      <w:r>
        <w:rPr>
          <w:lang w:val="en-GB"/>
        </w:rPr>
        <w:instrText xml:space="preserve"> HYPERLINK "mailto:nigel.may@parkfield.co.uk" </w:instrText>
      </w:r>
      <w:r>
        <w:rPr>
          <w:rFonts w:cstheme="minorBidi"/>
          <w:lang w:val="en-GB"/>
        </w:rPr>
        <w:fldChar w:fldCharType="separate"/>
      </w:r>
      <w:r>
        <w:rPr>
          <w:rStyle w:val="Hyperlink"/>
          <w:rFonts w:cs="Arial"/>
          <w:lang w:val="en-GB"/>
        </w:rPr>
        <w:t>nigel.may@parkfield.co.uk</w:t>
      </w:r>
      <w:r>
        <w:rPr>
          <w:rStyle w:val="Hyperlink"/>
          <w:rFonts w:cs="Arial"/>
          <w:lang w:val="fr-FR"/>
        </w:rPr>
        <w:fldChar w:fldCharType="end"/>
      </w:r>
      <w:r>
        <w:rPr>
          <w:rFonts w:cs="Arial"/>
          <w:lang w:val="en-GB"/>
        </w:rPr>
        <w:t xml:space="preserve"> </w:t>
      </w:r>
    </w:p>
    <w:p>
      <w:pPr>
        <w:rPr>
          <w:rFonts w:cs="Arial"/>
          <w:lang w:val="en-GB"/>
        </w:rPr>
      </w:pPr>
      <w:hyperlink r:id="rId10" w:history="1">
        <w:r>
          <w:rPr>
            <w:rStyle w:val="Hyperlink"/>
            <w:rFonts w:cs="Arial"/>
            <w:lang w:val="en-GB"/>
          </w:rPr>
          <w:t>parkfield.co.uk</w:t>
        </w:r>
      </w:hyperlink>
      <w:r>
        <w:rPr>
          <w:rFonts w:cs="Arial"/>
          <w:lang w:val="en-GB"/>
        </w:rPr>
        <w:t xml:space="preserve"> </w:t>
      </w:r>
    </w:p>
    <w:p>
      <w:pPr>
        <w:rPr>
          <w:rFonts w:cs="Arial"/>
        </w:rPr>
      </w:pPr>
      <w:r>
        <w:rPr>
          <w:rFonts w:cs="Arial"/>
          <w:lang w:val="en-GB"/>
        </w:rPr>
        <w:br/>
      </w:r>
      <w:r>
        <w:rPr>
          <w:rFonts w:cs="Arial"/>
        </w:rPr>
        <w:t xml:space="preserve">A E2S é líder mundial na fabricação independente de sinalização. Com sede na região Oeste de Londres, Inglaterra, a empresa projeta e fabrica uma ampla variedade de produtos de sinalização para ambientes industriais e marítimos e áreas perigosas. Os produtos da E2S Produtos podem ser entregues em todo o mundo através de sua rede de distribuição. Detalhes dos distribuidores podem ser encontrados no site da empresa. Além disso, a E2S tem um centro de distribuição dedicado exclusivo em Houston, Texas, para distribuição local de produtos e atendimento técnico. </w:t>
      </w:r>
    </w:p>
    <w:p>
      <w:pPr>
        <w:rPr>
          <w:rFonts w:cs="Arial"/>
        </w:rPr>
      </w:pPr>
    </w:p>
    <w:p>
      <w:pPr>
        <w:rPr>
          <w:rFonts w:eastAsia="Times New Roman" w:cstheme="minorHAnsi"/>
          <w:lang w:val="en-US"/>
        </w:rPr>
      </w:pPr>
      <w:r>
        <w:rPr>
          <w:rFonts w:eastAsia="Times New Roman" w:cstheme="minorHAnsi"/>
          <w:lang w:val="en-US"/>
        </w:rPr>
        <w:t>E2S Warning Signals</w:t>
      </w:r>
    </w:p>
    <w:p>
      <w:pPr>
        <w:rPr>
          <w:rFonts w:eastAsia="Times New Roman" w:cstheme="minorHAnsi"/>
          <w:lang w:val="en-US"/>
        </w:rPr>
      </w:pPr>
      <w:r>
        <w:rPr>
          <w:rFonts w:eastAsia="Times New Roman" w:cstheme="minorHAnsi"/>
          <w:lang w:val="en-US"/>
        </w:rPr>
        <w:t>17633 Telge Road</w:t>
      </w:r>
    </w:p>
    <w:p>
      <w:pPr>
        <w:rPr>
          <w:rFonts w:eastAsia="Times New Roman" w:cstheme="minorHAnsi"/>
          <w:lang w:val="en-US"/>
        </w:rPr>
      </w:pPr>
      <w:r>
        <w:rPr>
          <w:rFonts w:eastAsia="Times New Roman" w:cstheme="minorHAnsi"/>
          <w:lang w:val="en-US"/>
        </w:rPr>
        <w:t>Cypress, Houston</w:t>
      </w:r>
    </w:p>
    <w:p>
      <w:pPr>
        <w:rPr>
          <w:rFonts w:eastAsia="Times New Roman" w:cstheme="minorHAnsi"/>
        </w:rPr>
      </w:pPr>
      <w:r>
        <w:rPr>
          <w:rFonts w:eastAsia="Times New Roman" w:cstheme="minorHAnsi"/>
        </w:rPr>
        <w:t>TX 77086</w:t>
      </w:r>
    </w:p>
    <w:p>
      <w:pPr>
        <w:rPr>
          <w:rFonts w:eastAsia="Times New Roman" w:cstheme="minorHAnsi"/>
        </w:rPr>
      </w:pPr>
      <w:r>
        <w:rPr>
          <w:rFonts w:eastAsia="Times New Roman" w:cstheme="minorHAnsi"/>
        </w:rPr>
        <w:t>Estados Unidos da America</w:t>
      </w:r>
    </w:p>
    <w:p>
      <w:pPr>
        <w:rPr>
          <w:rFonts w:eastAsia="Times New Roman" w:cstheme="minorHAnsi"/>
        </w:rPr>
      </w:pPr>
      <w:r>
        <w:rPr>
          <w:rFonts w:eastAsia="Times New Roman" w:cstheme="minorHAnsi"/>
        </w:rPr>
        <w:t>Tel: + 1 281-377-4401</w:t>
      </w:r>
    </w:p>
    <w:p>
      <w:pPr>
        <w:rPr>
          <w:rFonts w:eastAsia="Times New Roman" w:cstheme="minorHAnsi"/>
        </w:rPr>
      </w:pPr>
      <w:r>
        <w:rPr>
          <w:rFonts w:eastAsia="Times New Roman" w:cstheme="minorHAnsi"/>
        </w:rPr>
        <w:t>Fax: + 1 281-440-4040</w:t>
      </w:r>
    </w:p>
    <w:p>
      <w:pPr>
        <w:rPr>
          <w:rFonts w:eastAsia="Times New Roman" w:cstheme="minorHAnsi"/>
        </w:rPr>
      </w:pPr>
      <w:r>
        <w:rPr>
          <w:rFonts w:eastAsia="Times New Roman" w:cstheme="minorHAnsi"/>
        </w:rPr>
        <w:t xml:space="preserve">Mail: </w:t>
      </w:r>
      <w:hyperlink r:id="rId11" w:history="1">
        <w:r>
          <w:rPr>
            <w:rFonts w:eastAsia="Times New Roman" w:cstheme="minorHAnsi"/>
            <w:color w:val="0000FF"/>
            <w:u w:val="single"/>
          </w:rPr>
          <w:t>sales@e2s.com</w:t>
        </w:r>
      </w:hyperlink>
      <w:r>
        <w:rPr>
          <w:rFonts w:eastAsia="Times New Roman" w:cstheme="minorHAnsi"/>
        </w:rPr>
        <w:t xml:space="preserve"> </w:t>
      </w:r>
    </w:p>
    <w:p>
      <w:pPr>
        <w:rPr>
          <w:rFonts w:eastAsia="Times New Roman" w:cstheme="minorHAnsi"/>
          <w:lang w:val="en-GB"/>
        </w:rPr>
      </w:pPr>
      <w:r>
        <w:rPr>
          <w:rFonts w:eastAsia="Times New Roman" w:cstheme="minorHAnsi"/>
          <w:lang w:val="en-GB"/>
        </w:rPr>
        <w:t xml:space="preserve">Web: </w:t>
      </w:r>
      <w:hyperlink r:id="rId12" w:history="1">
        <w:r>
          <w:rPr>
            <w:rFonts w:eastAsia="Times New Roman" w:cstheme="minorHAnsi"/>
            <w:color w:val="0000FF"/>
            <w:u w:val="single"/>
            <w:lang w:val="en-GB"/>
          </w:rPr>
          <w:t>www.e2s.com</w:t>
        </w:r>
      </w:hyperlink>
      <w:r>
        <w:rPr>
          <w:rFonts w:eastAsia="Times New Roman" w:cstheme="minorHAnsi"/>
          <w:lang w:val="en-GB"/>
        </w:rPr>
        <w:t xml:space="preserve"> </w:t>
      </w:r>
    </w:p>
    <w:p>
      <w:pPr>
        <w:rPr>
          <w:rFonts w:cs="Arial"/>
          <w:lang w:val="en-GB"/>
        </w:rPr>
      </w:pPr>
    </w:p>
    <w:p>
      <w:pPr>
        <w:rPr>
          <w:rFonts w:cs="Arial"/>
          <w:lang w:val="en-GB"/>
        </w:rPr>
      </w:pPr>
    </w:p>
    <w:p>
      <w:pPr>
        <w:rPr>
          <w:rFonts w:cs="Arial"/>
          <w:lang w:val="en-GB"/>
        </w:rPr>
      </w:pPr>
      <w:r>
        <w:rPr>
          <w:rFonts w:cs="Arial"/>
          <w:lang w:val="en-GB"/>
        </w:rPr>
        <w:t>E2S Warning Signals</w:t>
      </w:r>
    </w:p>
    <w:p>
      <w:pPr>
        <w:rPr>
          <w:rFonts w:cs="Arial"/>
          <w:lang w:val="en-GB"/>
        </w:rPr>
      </w:pPr>
      <w:r>
        <w:rPr>
          <w:rFonts w:cs="Arial"/>
          <w:lang w:val="en-GB"/>
        </w:rPr>
        <w:t>Impress House</w:t>
      </w:r>
    </w:p>
    <w:p>
      <w:pPr>
        <w:rPr>
          <w:rFonts w:cs="Arial"/>
          <w:lang w:val="en-GB"/>
        </w:rPr>
      </w:pPr>
      <w:r>
        <w:rPr>
          <w:rFonts w:cs="Arial"/>
          <w:lang w:val="en-GB"/>
        </w:rPr>
        <w:t>Mansell Road</w:t>
      </w:r>
    </w:p>
    <w:p>
      <w:pPr>
        <w:rPr>
          <w:rFonts w:cs="Arial"/>
          <w:lang w:val="en-GB"/>
        </w:rPr>
      </w:pPr>
      <w:proofErr w:type="spellStart"/>
      <w:r>
        <w:rPr>
          <w:rFonts w:cs="Arial"/>
          <w:lang w:val="en-GB"/>
        </w:rPr>
        <w:t>Londres</w:t>
      </w:r>
      <w:proofErr w:type="spellEnd"/>
    </w:p>
    <w:p>
      <w:pPr>
        <w:rPr>
          <w:rFonts w:cs="Arial"/>
          <w:lang w:val="en-GB"/>
        </w:rPr>
      </w:pPr>
      <w:r>
        <w:rPr>
          <w:rFonts w:cs="Arial"/>
          <w:lang w:val="en-GB"/>
        </w:rPr>
        <w:t>W3 7QH</w:t>
      </w:r>
    </w:p>
    <w:p>
      <w:pPr>
        <w:rPr>
          <w:rFonts w:cs="Arial"/>
        </w:rPr>
      </w:pPr>
      <w:r>
        <w:rPr>
          <w:rFonts w:cs="Arial"/>
        </w:rPr>
        <w:t>Grã-Bretanha</w:t>
      </w:r>
    </w:p>
    <w:p>
      <w:pPr>
        <w:rPr>
          <w:rFonts w:cs="Arial"/>
        </w:rPr>
      </w:pPr>
      <w:r>
        <w:rPr>
          <w:rFonts w:cs="Arial"/>
        </w:rPr>
        <w:t>Tel: + 44 (0)20 8743 8880</w:t>
      </w:r>
    </w:p>
    <w:p>
      <w:pPr>
        <w:rPr>
          <w:rFonts w:cs="Arial"/>
        </w:rPr>
      </w:pPr>
      <w:r>
        <w:rPr>
          <w:rFonts w:cs="Arial"/>
        </w:rPr>
        <w:t>Fax: + 44 (0)20 8740 4200</w:t>
      </w:r>
    </w:p>
    <w:p>
      <w:pPr>
        <w:rPr>
          <w:rFonts w:cs="Arial"/>
        </w:rPr>
      </w:pPr>
      <w:hyperlink r:id="rId13" w:history="1">
        <w:r>
          <w:rPr>
            <w:rStyle w:val="Hyperlink"/>
            <w:rFonts w:cs="Arial"/>
          </w:rPr>
          <w:t>sales@e2s.com</w:t>
        </w:r>
      </w:hyperlink>
      <w:r>
        <w:rPr>
          <w:rFonts w:cs="Arial"/>
        </w:rPr>
        <w:t xml:space="preserve"> </w:t>
      </w:r>
    </w:p>
    <w:p>
      <w:pPr>
        <w:tabs>
          <w:tab w:val="left" w:pos="851"/>
          <w:tab w:val="right" w:pos="9072"/>
        </w:tabs>
        <w:rPr>
          <w:lang w:val="fr-FR"/>
        </w:rPr>
      </w:pPr>
      <w:hyperlink r:id="rId14" w:history="1">
        <w:r>
          <w:rPr>
            <w:rStyle w:val="Hyperlink"/>
            <w:rFonts w:cs="Arial"/>
            <w:lang w:val="fr-FR"/>
          </w:rPr>
          <w:t>e2s.com</w:t>
        </w:r>
      </w:hyperlink>
    </w:p>
    <w:p>
      <w:pPr>
        <w:tabs>
          <w:tab w:val="left" w:pos="851"/>
          <w:tab w:val="right" w:pos="9072"/>
        </w:tabs>
        <w:rPr>
          <w:lang w:val="fr-FR"/>
        </w:rPr>
      </w:pPr>
    </w:p>
    <w:p>
      <w:pPr>
        <w:widowControl/>
        <w:autoSpaceDE w:val="0"/>
        <w:autoSpaceDN w:val="0"/>
        <w:adjustRightInd w:val="0"/>
        <w:rPr>
          <w:rFonts w:ascii="NewsGotLig" w:hAnsi="NewsGotLig" w:cs="NewsGotLig"/>
          <w:color w:val="000000"/>
          <w:sz w:val="23"/>
          <w:szCs w:val="23"/>
        </w:rPr>
      </w:pPr>
    </w:p>
    <w:sectPr>
      <w:type w:val="continuous"/>
      <w:pgSz w:w="11900" w:h="16820" w:code="9"/>
      <w:pgMar w:top="1418" w:right="1418" w:bottom="1418" w:left="1418" w:header="1418" w:footer="1418" w:gutter="0"/>
      <w:paperSrc w:first="1" w:other="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wsGotMed">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NewsGotLig">
    <w:altName w:val="Calibri"/>
    <w:panose1 w:val="000000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isplayBackgroundShape/>
  <w:printPostScriptOverText/>
  <w:proofState w:spelling="clean" w:grammar="clean"/>
  <w:defaultTabStop w:val="567"/>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napToGrid w:val="0"/>
        <w:sz w:val="22"/>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NewsGotMed" w:hAnsi="NewsGotMed" w:cs="NewsGotMed"/>
      <w:color w:val="000000"/>
      <w:sz w:val="24"/>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2s.com/product-code?code=sta" TargetMode="External"/><Relationship Id="rId13" Type="http://schemas.openxmlformats.org/officeDocument/2006/relationships/hyperlink" Target="mailto:sales@e2s.com" TargetMode="External"/><Relationship Id="rId3" Type="http://schemas.openxmlformats.org/officeDocument/2006/relationships/webSettings" Target="webSettings.xml"/><Relationship Id="rId7" Type="http://schemas.openxmlformats.org/officeDocument/2006/relationships/hyperlink" Target="https://www.e2s.com/product/13441" TargetMode="External"/><Relationship Id="rId12" Type="http://schemas.openxmlformats.org/officeDocument/2006/relationships/hyperlink" Target="http://www.e2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2s.com/product/13440" TargetMode="External"/><Relationship Id="rId11" Type="http://schemas.openxmlformats.org/officeDocument/2006/relationships/hyperlink" Target="mailto:sales@e2s.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arkfield.co.uk" TargetMode="External"/><Relationship Id="rId4" Type="http://schemas.openxmlformats.org/officeDocument/2006/relationships/footnotes" Target="footnotes.xml"/><Relationship Id="rId9" Type="http://schemas.openxmlformats.org/officeDocument/2006/relationships/hyperlink" Target="https://www.e2s.com/product-code?code=stb" TargetMode="External"/><Relationship Id="rId14" Type="http://schemas.openxmlformats.org/officeDocument/2006/relationships/hyperlink" Target="http://www.e2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2020-12-02T14:31:00Z</dcterms:created>
  <dcterms:modified xsi:type="dcterms:W3CDTF">2020-12-02T14:32:00Z</dcterms:modified>
</cp:coreProperties>
</file>