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Bdr>
          <w:top w:val="nil"/>
          <w:left w:val="nil"/>
          <w:bottom w:val="nil"/>
          <w:right w:val="nil"/>
        </w:pBdr>
        <w:jc w:val="left"/>
        <w:rPr>
          <w:lang w:val="de-DE"/>
        </w:rPr>
      </w:pPr>
      <w:r>
        <w:rPr>
          <w:rFonts w:asciiTheme="minorHAnsi" w:hAnsiTheme="minorHAnsi" w:cs="Arial"/>
          <w:b w:val="0"/>
          <w:color w:val="C00000"/>
          <w:sz w:val="52"/>
          <w:szCs w:val="52"/>
          <w:lang w:val="de-DE"/>
        </w:rPr>
        <w:t>Presseinformation</w:t>
      </w:r>
    </w:p>
    <w:p>
      <w:pPr>
        <w:widowControl/>
        <w:tabs>
          <w:tab w:val="left" w:pos="851"/>
          <w:tab w:val="right" w:pos="9072"/>
        </w:tabs>
        <w:spacing w:after="160" w:line="259" w:lineRule="auto"/>
        <w:rPr>
          <w:rFonts w:eastAsia="Calibri" w:cs="Calibri"/>
          <w:b/>
          <w:snapToGrid/>
          <w:szCs w:val="22"/>
          <w:lang w:val="de-DE" w:eastAsia="en-US"/>
        </w:rPr>
      </w:pPr>
      <w:r>
        <w:rPr>
          <w:rFonts w:eastAsia="Calibri" w:cs="Calibri"/>
          <w:snapToGrid/>
          <w:szCs w:val="22"/>
          <w:lang w:val="de-DE" w:eastAsia="en-US"/>
        </w:rPr>
        <w:t xml:space="preserve">Veröffentlicht am </w:t>
      </w:r>
      <w:r>
        <w:rPr>
          <w:rFonts w:eastAsia="Calibri" w:cs="Calibri"/>
          <w:snapToGrid/>
          <w:szCs w:val="22"/>
          <w:lang w:val="de-DE" w:eastAsia="en-US"/>
        </w:rPr>
        <w:t>2. Dezember 2020</w:t>
      </w:r>
    </w:p>
    <w:p>
      <w:pPr>
        <w:pStyle w:val="Title"/>
        <w:pBdr>
          <w:top w:val="nil"/>
          <w:left w:val="nil"/>
          <w:bottom w:val="nil"/>
          <w:right w:val="nil"/>
        </w:pBdr>
        <w:jc w:val="left"/>
        <w:rPr>
          <w:rFonts w:asciiTheme="minorHAnsi" w:hAnsiTheme="minorHAnsi" w:cstheme="minorHAnsi"/>
          <w:b w:val="0"/>
          <w:bCs w:val="0"/>
          <w:szCs w:val="22"/>
          <w:lang w:val="de-DE"/>
        </w:rPr>
      </w:pPr>
      <w:r>
        <w:rPr>
          <w:rFonts w:asciiTheme="minorHAnsi" w:hAnsiTheme="minorHAnsi" w:cstheme="minorHAnsi"/>
          <w:b w:val="0"/>
          <w:szCs w:val="22"/>
          <w:lang w:val="de-DE"/>
        </w:rPr>
        <w:t>Zum Downloaden eines Bildes in Druckqualität</w:t>
      </w:r>
      <w:r>
        <w:rPr>
          <w:rFonts w:asciiTheme="minorHAnsi" w:hAnsiTheme="minorHAnsi" w:cstheme="minorHAnsi"/>
          <w:b w:val="0"/>
          <w:bCs w:val="0"/>
          <w:szCs w:val="22"/>
          <w:lang w:val="de-DE"/>
        </w:rPr>
        <w:t xml:space="preserve"> 300 dpi,</w:t>
      </w:r>
    </w:p>
    <w:p>
      <w:pPr>
        <w:pStyle w:val="Title"/>
        <w:pBdr>
          <w:top w:val="nil"/>
          <w:left w:val="nil"/>
          <w:bottom w:val="nil"/>
          <w:right w:val="nil"/>
        </w:pBdr>
        <w:jc w:val="left"/>
        <w:rPr>
          <w:lang w:val="de-DE"/>
        </w:rPr>
      </w:pPr>
      <w:r>
        <w:rPr>
          <w:rFonts w:asciiTheme="minorHAnsi" w:hAnsiTheme="minorHAnsi" w:cstheme="minorHAnsi"/>
          <w:b w:val="0"/>
          <w:bCs w:val="0"/>
          <w:szCs w:val="22"/>
          <w:lang w:val="de-DE"/>
        </w:rPr>
        <w:t xml:space="preserve">gehen Sie zu </w:t>
      </w:r>
      <w:r>
        <w:fldChar w:fldCharType="begin"/>
      </w:r>
      <w:r>
        <w:rPr>
          <w:lang w:val="de-DE"/>
        </w:rPr>
        <w:instrText>HYPERLINK "https://www.parkfield.co.uk/e2s/b350-print.jpg"</w:instrText>
      </w:r>
      <w:r>
        <w:fldChar w:fldCharType="separate"/>
      </w:r>
      <w:r>
        <w:rPr>
          <w:rStyle w:val="Hyperlink"/>
          <w:rFonts w:asciiTheme="minorHAnsi" w:hAnsiTheme="minorHAnsi" w:cstheme="minorHAnsi"/>
          <w:b w:val="0"/>
          <w:bCs w:val="0"/>
          <w:szCs w:val="22"/>
          <w:lang w:val="de-DE"/>
        </w:rPr>
        <w:t>parkfield.co.uk/e2s/b350-print.jpg</w:t>
      </w:r>
      <w:r>
        <w:rPr>
          <w:rStyle w:val="Hyperlink"/>
          <w:rFonts w:asciiTheme="minorHAnsi" w:hAnsiTheme="minorHAnsi" w:cstheme="minorHAnsi"/>
          <w:b w:val="0"/>
          <w:bCs w:val="0"/>
          <w:szCs w:val="22"/>
          <w:lang w:val="de-DE"/>
        </w:rPr>
        <w:fldChar w:fldCharType="end"/>
      </w:r>
    </w:p>
    <w:p>
      <w:pPr>
        <w:pStyle w:val="PlainText"/>
        <w:rPr>
          <w:rFonts w:cstheme="minorHAnsi"/>
          <w:szCs w:val="22"/>
          <w:lang w:val="de-DE"/>
        </w:rPr>
      </w:pPr>
    </w:p>
    <w:p>
      <w:pPr>
        <w:pStyle w:val="PlainText"/>
        <w:rPr>
          <w:lang w:val="de-DE"/>
        </w:rPr>
      </w:pPr>
      <w:r>
        <w:rPr>
          <w:rFonts w:cstheme="minorHAnsi"/>
          <w:szCs w:val="22"/>
          <w:lang w:val="de-DE"/>
        </w:rPr>
        <w:t xml:space="preserve">Der Text steht Ihnen unter </w:t>
      </w:r>
      <w:r>
        <w:rPr>
          <w:rFonts w:cstheme="minorHAnsi"/>
          <w:szCs w:val="22"/>
          <w:lang w:val="de-DE"/>
        </w:rPr>
        <w:fldChar w:fldCharType="begin"/>
      </w:r>
      <w:r>
        <w:rPr>
          <w:rFonts w:cstheme="minorHAnsi"/>
          <w:szCs w:val="22"/>
          <w:lang w:val="de-DE"/>
        </w:rPr>
        <w:instrText xml:space="preserve"> HYPERLINK "https://www.parkfield.co.uk/e2s/b350-de.docx" </w:instrText>
      </w:r>
      <w:r>
        <w:rPr>
          <w:rFonts w:cstheme="minorHAnsi"/>
          <w:szCs w:val="22"/>
          <w:lang w:val="de-DE"/>
        </w:rPr>
        <w:fldChar w:fldCharType="separate"/>
      </w:r>
      <w:r>
        <w:rPr>
          <w:rStyle w:val="Hyperlink"/>
          <w:rFonts w:cstheme="minorHAnsi"/>
          <w:szCs w:val="22"/>
          <w:lang w:val="de-DE"/>
        </w:rPr>
        <w:t>parkfield.co.uk/e2s/b350-de.docx</w:t>
      </w:r>
      <w:r>
        <w:rPr>
          <w:rFonts w:cstheme="minorHAnsi"/>
          <w:szCs w:val="22"/>
          <w:lang w:val="de-DE"/>
        </w:rPr>
        <w:fldChar w:fldCharType="end"/>
      </w:r>
      <w:r>
        <w:rPr>
          <w:rFonts w:cstheme="minorHAnsi"/>
          <w:szCs w:val="22"/>
          <w:lang w:val="de-DE"/>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lang w:val="de-DE"/>
        </w:rPr>
      </w:pPr>
    </w:p>
    <w:p>
      <w:pPr>
        <w:pStyle w:val="Title"/>
        <w:pBdr>
          <w:top w:val="nil"/>
          <w:left w:val="nil"/>
          <w:bottom w:val="nil"/>
          <w:right w:val="nil"/>
        </w:pBdr>
        <w:jc w:val="left"/>
        <w:rPr>
          <w:lang w:val="de-DE"/>
        </w:rPr>
      </w:pPr>
      <w:r>
        <w:rPr>
          <w:rStyle w:val="hps"/>
          <w:rFonts w:asciiTheme="minorHAnsi" w:hAnsiTheme="minorHAnsi" w:cstheme="minorHAnsi"/>
          <w:b w:val="0"/>
          <w:szCs w:val="22"/>
          <w:lang w:val="de-DE"/>
        </w:rPr>
        <w:t>Alle</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E2S</w:t>
      </w:r>
      <w:r>
        <w:rPr>
          <w:rStyle w:val="shorttext"/>
          <w:rFonts w:asciiTheme="minorHAnsi" w:hAnsiTheme="minorHAnsi" w:cstheme="minorHAnsi"/>
          <w:b w:val="0"/>
          <w:szCs w:val="22"/>
          <w:lang w:val="de-DE"/>
        </w:rPr>
        <w:t xml:space="preserve"> </w:t>
      </w:r>
      <w:r>
        <w:rPr>
          <w:rFonts w:asciiTheme="minorHAnsi" w:hAnsiTheme="minorHAnsi" w:cstheme="minorHAnsi"/>
          <w:b w:val="0"/>
          <w:szCs w:val="22"/>
          <w:lang w:val="de-DE"/>
        </w:rPr>
        <w:t xml:space="preserve">Presseinformation </w:t>
      </w:r>
      <w:r>
        <w:rPr>
          <w:rStyle w:val="hps"/>
          <w:rFonts w:asciiTheme="minorHAnsi" w:hAnsiTheme="minorHAnsi" w:cstheme="minorHAnsi"/>
          <w:b w:val="0"/>
          <w:szCs w:val="22"/>
          <w:lang w:val="de-DE"/>
        </w:rPr>
        <w:t>zu sehen,</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 xml:space="preserve">zu gehen </w:t>
      </w:r>
      <w:r>
        <w:fldChar w:fldCharType="begin"/>
      </w:r>
      <w:r>
        <w:rPr>
          <w:lang w:val="de-DE"/>
        </w:rPr>
        <w:instrText xml:space="preserve"> HYPERLINK "https://www.parkfield.co.uk/e2s/" </w:instrText>
      </w:r>
      <w:r>
        <w:fldChar w:fldCharType="separate"/>
      </w:r>
      <w:r>
        <w:rPr>
          <w:rStyle w:val="Hyperlink"/>
          <w:rFonts w:asciiTheme="minorHAnsi" w:hAnsiTheme="minorHAnsi" w:cstheme="minorHAnsi"/>
          <w:b w:val="0"/>
          <w:szCs w:val="22"/>
          <w:lang w:val="de-DE"/>
        </w:rPr>
        <w:t>parkfield.co.uk/e2s/</w:t>
      </w:r>
      <w:r>
        <w:rPr>
          <w:rStyle w:val="Hyperlink"/>
          <w:rFonts w:asciiTheme="minorHAnsi" w:hAnsiTheme="minorHAnsi" w:cstheme="minorHAnsi"/>
          <w:b w:val="0"/>
          <w:szCs w:val="22"/>
          <w:lang w:val="de-DE"/>
        </w:rPr>
        <w:fldChar w:fldCharType="end"/>
      </w:r>
    </w:p>
    <w:p>
      <w:pPr>
        <w:tabs>
          <w:tab w:val="left" w:pos="851"/>
          <w:tab w:val="right" w:pos="9072"/>
        </w:tabs>
        <w:rPr>
          <w:lang w:val="de-DE"/>
        </w:rPr>
      </w:pPr>
    </w:p>
    <w:p>
      <w:pPr>
        <w:tabs>
          <w:tab w:val="left" w:pos="851"/>
          <w:tab w:val="right" w:pos="9072"/>
        </w:tabs>
        <w:rPr>
          <w:b/>
          <w:lang w:val="de-DE"/>
        </w:rPr>
      </w:pPr>
      <w:r>
        <w:rPr>
          <w:b/>
          <w:lang w:val="de-DE"/>
        </w:rPr>
        <w:t>E2S rüstet Signalleuchten mit superheller Lichtleistung und zusätzlichen Konfigurationsoptionen auf</w:t>
      </w:r>
    </w:p>
    <w:p>
      <w:pPr>
        <w:tabs>
          <w:tab w:val="left" w:pos="851"/>
          <w:tab w:val="right" w:pos="9072"/>
        </w:tabs>
        <w:jc w:val="center"/>
        <w:rPr>
          <w:b/>
          <w:lang w:val="de-DE"/>
        </w:rPr>
      </w:pPr>
    </w:p>
    <w:p>
      <w:pPr>
        <w:tabs>
          <w:tab w:val="left" w:pos="851"/>
          <w:tab w:val="right" w:pos="9072"/>
        </w:tabs>
        <w:rPr>
          <w:rFonts w:asciiTheme="minorHAnsi" w:hAnsiTheme="minorHAnsi" w:cstheme="minorHAnsi"/>
          <w:bCs/>
          <w:lang w:val="de-DE"/>
        </w:rPr>
      </w:pPr>
      <w:r>
        <w:rPr>
          <w:rFonts w:asciiTheme="minorHAnsi" w:hAnsiTheme="minorHAnsi" w:cstheme="minorHAnsi"/>
          <w:bCs/>
          <w:lang w:val="de-DE"/>
        </w:rPr>
        <w:t xml:space="preserve">E2S Warning Signals hat sich die kontinuierliche Produktverbesserung als Reaktion auf technologische Entwicklungen, gesetzliche Änderungen und Kundenfeedback auf die Fahnen geschrieben. Die neuesten Produkte, die mit einem Upgrade versehen werden, sind die </w:t>
      </w:r>
      <w:r>
        <w:rPr>
          <w:rFonts w:asciiTheme="minorHAnsi" w:hAnsiTheme="minorHAnsi" w:cstheme="minorHAnsi"/>
          <w:lang w:val="de-DE"/>
        </w:rPr>
        <w:t xml:space="preserve">Ampelsignalleuchten </w:t>
      </w:r>
      <w:hyperlink r:id="rId6" w:history="1">
        <w:r>
          <w:rPr>
            <w:rStyle w:val="Hyperlink"/>
            <w:rFonts w:asciiTheme="minorHAnsi" w:hAnsiTheme="minorHAnsi" w:cstheme="minorHAnsi"/>
            <w:bCs/>
            <w:lang w:val="de-DE"/>
          </w:rPr>
          <w:t>B350TLA</w:t>
        </w:r>
      </w:hyperlink>
      <w:r>
        <w:rPr>
          <w:rFonts w:asciiTheme="minorHAnsi" w:hAnsiTheme="minorHAnsi" w:cstheme="minorHAnsi"/>
          <w:lang w:val="de-DE"/>
        </w:rPr>
        <w:t xml:space="preserve">, die ein kompaktes Gehäuse von 100 x 140 mm haben und somit ideal für Anwendungen mit begrenztem Platzangebot oder zur Montage direkt an Maschinen sind. </w:t>
      </w:r>
      <w:r>
        <w:rPr>
          <w:rFonts w:asciiTheme="minorHAnsi" w:hAnsiTheme="minorHAnsi" w:cstheme="minorHAnsi"/>
          <w:bCs/>
          <w:lang w:val="de-DE"/>
        </w:rPr>
        <w:t xml:space="preserve">Die größere Ausführung </w:t>
      </w:r>
      <w:hyperlink r:id="rId7" w:history="1">
        <w:r>
          <w:rPr>
            <w:rStyle w:val="Hyperlink"/>
            <w:rFonts w:asciiTheme="minorHAnsi" w:hAnsiTheme="minorHAnsi" w:cstheme="minorHAnsi"/>
            <w:bCs/>
            <w:lang w:val="de-DE"/>
          </w:rPr>
          <w:t>B450TLA</w:t>
        </w:r>
      </w:hyperlink>
      <w:r>
        <w:rPr>
          <w:rFonts w:asciiTheme="minorHAnsi" w:hAnsiTheme="minorHAnsi" w:cstheme="minorHAnsi"/>
          <w:bCs/>
          <w:lang w:val="de-DE"/>
        </w:rPr>
        <w:t xml:space="preserve"> mit 140 x 177 mm wurde ebenfalls aufgerüstet. Beide Modelle arbeiten mit </w:t>
      </w:r>
      <w:r>
        <w:rPr>
          <w:rFonts w:asciiTheme="minorHAnsi" w:hAnsiTheme="minorHAnsi" w:cstheme="minorHAnsi"/>
          <w:color w:val="000000"/>
          <w:sz w:val="23"/>
          <w:szCs w:val="23"/>
          <w:lang w:val="de-DE"/>
        </w:rPr>
        <w:t xml:space="preserve">einem Array von 18 weißen Hochleistungs-LEDs, die eine superhelle Lichtleistung von bis zu 356 Candela liefern. Die Farbe des Ausgangslichts wird durch die ultraschallverschweißte Streulinse bestimmt: </w:t>
      </w:r>
      <w:r>
        <w:rPr>
          <w:rFonts w:asciiTheme="minorHAnsi" w:hAnsiTheme="minorHAnsi" w:cstheme="minorHAnsi"/>
          <w:lang w:val="de-DE"/>
        </w:rPr>
        <w:t xml:space="preserve">Orange, Blau, Transparent, Grün, Rot und Gelb sind die Standardfarben, was </w:t>
      </w:r>
      <w:r>
        <w:rPr>
          <w:rFonts w:asciiTheme="minorHAnsi" w:hAnsiTheme="minorHAnsi" w:cstheme="minorHAnsi"/>
          <w:color w:val="000000"/>
          <w:sz w:val="23"/>
          <w:szCs w:val="23"/>
          <w:lang w:val="de-DE"/>
        </w:rPr>
        <w:t>eine Neukonfiguration der Farben vor Ort und eine größere Flexibilität bei der Lagerverwaltung ermöglicht. Neu sind jetzt sieben Blitzmuster, zu denen auch ein zeitliches Muster für eine größere Wirksamkeit gehört, und eine kontinuierliche Ausgabe zur Statusanzeige.</w:t>
      </w:r>
    </w:p>
    <w:p>
      <w:pPr>
        <w:tabs>
          <w:tab w:val="left" w:pos="851"/>
          <w:tab w:val="right" w:pos="9072"/>
        </w:tabs>
        <w:rPr>
          <w:rFonts w:asciiTheme="minorHAnsi" w:hAnsiTheme="minorHAnsi" w:cstheme="minorHAnsi"/>
          <w:bCs/>
          <w:lang w:val="de-DE"/>
        </w:rPr>
      </w:pPr>
    </w:p>
    <w:p>
      <w:pPr>
        <w:pStyle w:val="Default"/>
        <w:rPr>
          <w:rFonts w:asciiTheme="minorHAnsi" w:hAnsiTheme="minorHAnsi" w:cstheme="minorHAnsi"/>
          <w:sz w:val="23"/>
          <w:szCs w:val="23"/>
          <w:lang w:val="de-DE"/>
        </w:rPr>
      </w:pPr>
      <w:r>
        <w:rPr>
          <w:rFonts w:asciiTheme="minorHAnsi" w:hAnsiTheme="minorHAnsi" w:cstheme="minorHAnsi"/>
          <w:sz w:val="23"/>
          <w:szCs w:val="23"/>
          <w:lang w:val="de-DE"/>
        </w:rPr>
        <w:t>Mit dem im Lieferumfang enthaltenen Steckverbinder können mehrere Geräte zu Türmen verbunden werden, und durch</w:t>
      </w:r>
      <w:r>
        <w:rPr>
          <w:rFonts w:asciiTheme="minorHAnsi" w:hAnsiTheme="minorHAnsi" w:cstheme="minorHAnsi"/>
          <w:bCs/>
          <w:lang w:val="de-DE"/>
        </w:rPr>
        <w:t xml:space="preserve"> </w:t>
      </w:r>
      <w:r>
        <w:rPr>
          <w:rFonts w:asciiTheme="minorHAnsi" w:hAnsiTheme="minorHAnsi" w:cstheme="minorHAnsi"/>
          <w:sz w:val="23"/>
          <w:szCs w:val="23"/>
          <w:lang w:val="de-DE"/>
        </w:rPr>
        <w:t>zwei steckbare Anschlussklemmen wird die Kabelinstallation bei Installationen in Schleifen vereinfacht. Die Betriebsspannungsbereiche liegen bei 10–14 VDC/16–33 VDC und 48–260 VAC/DC, der 1-Hz-Flash-Betriebsstrom beträgt nur 88 mA bei 24 VDC und die Betriebstemperatur deckt einen großen Bereich von -40 °C bis +70 °C ab.</w:t>
      </w:r>
    </w:p>
    <w:p>
      <w:pPr>
        <w:tabs>
          <w:tab w:val="left" w:pos="851"/>
          <w:tab w:val="right" w:pos="9072"/>
        </w:tabs>
        <w:rPr>
          <w:rFonts w:asciiTheme="minorHAnsi" w:hAnsiTheme="minorHAnsi" w:cstheme="minorHAnsi"/>
          <w:bCs/>
          <w:lang w:val="de-DE"/>
        </w:rPr>
      </w:pPr>
    </w:p>
    <w:p>
      <w:pPr>
        <w:widowControl/>
        <w:autoSpaceDE w:val="0"/>
        <w:autoSpaceDN w:val="0"/>
        <w:adjustRightInd w:val="0"/>
        <w:rPr>
          <w:rFonts w:asciiTheme="minorHAnsi" w:hAnsiTheme="minorHAnsi" w:cstheme="minorHAnsi"/>
          <w:lang w:val="de-DE"/>
        </w:rPr>
      </w:pPr>
      <w:r>
        <w:rPr>
          <w:rFonts w:asciiTheme="minorHAnsi" w:hAnsiTheme="minorHAnsi" w:cstheme="minorHAnsi"/>
          <w:color w:val="000000"/>
          <w:sz w:val="23"/>
          <w:szCs w:val="23"/>
          <w:lang w:val="de-DE"/>
        </w:rPr>
        <w:t xml:space="preserve">Ebenfalls mit dem neuesten 18-fachen LED-Array in Weiß aufgerüstet wurden die </w:t>
      </w:r>
      <w:r>
        <w:fldChar w:fldCharType="begin"/>
      </w:r>
      <w:r>
        <w:rPr>
          <w:lang w:val="de-DE"/>
        </w:rPr>
        <w:instrText xml:space="preserve"> HYPERLINK "https://www.e2s.com/product-code?code=sta" </w:instrText>
      </w:r>
      <w:r>
        <w:fldChar w:fldCharType="separate"/>
      </w:r>
      <w:r>
        <w:rPr>
          <w:rStyle w:val="Hyperlink"/>
          <w:rFonts w:asciiTheme="minorHAnsi" w:hAnsiTheme="minorHAnsi" w:cstheme="minorHAnsi"/>
          <w:sz w:val="23"/>
          <w:szCs w:val="23"/>
          <w:lang w:val="de-DE"/>
        </w:rPr>
        <w:t xml:space="preserve">STA- </w:t>
      </w:r>
      <w:r>
        <w:rPr>
          <w:rStyle w:val="Hyperlink"/>
          <w:rFonts w:asciiTheme="minorHAnsi" w:hAnsiTheme="minorHAnsi" w:cstheme="minorHAnsi"/>
          <w:sz w:val="23"/>
          <w:szCs w:val="23"/>
          <w:lang w:val="de-DE"/>
        </w:rPr>
        <w:fldChar w:fldCharType="end"/>
      </w:r>
      <w:r>
        <w:rPr>
          <w:rFonts w:asciiTheme="minorHAnsi" w:hAnsiTheme="minorHAnsi" w:cstheme="minorHAnsi"/>
          <w:color w:val="000000"/>
          <w:sz w:val="23"/>
          <w:szCs w:val="23"/>
          <w:lang w:val="de-DE"/>
        </w:rPr>
        <w:t xml:space="preserve">und </w:t>
      </w:r>
      <w:r>
        <w:fldChar w:fldCharType="begin"/>
      </w:r>
      <w:r>
        <w:rPr>
          <w:lang w:val="de-DE"/>
        </w:rPr>
        <w:instrText xml:space="preserve"> HYPERLINK "https://www.e2s.com/product-code?code=stb" </w:instrText>
      </w:r>
      <w:r>
        <w:fldChar w:fldCharType="separate"/>
      </w:r>
      <w:r>
        <w:rPr>
          <w:rStyle w:val="Hyperlink"/>
          <w:rFonts w:asciiTheme="minorHAnsi" w:hAnsiTheme="minorHAnsi" w:cstheme="minorHAnsi"/>
          <w:sz w:val="23"/>
          <w:szCs w:val="23"/>
          <w:lang w:val="de-DE"/>
        </w:rPr>
        <w:t>STB</w:t>
      </w:r>
      <w:r>
        <w:rPr>
          <w:rStyle w:val="Hyperlink"/>
          <w:rFonts w:asciiTheme="minorHAnsi" w:hAnsiTheme="minorHAnsi" w:cstheme="minorHAnsi"/>
          <w:sz w:val="23"/>
          <w:szCs w:val="23"/>
          <w:lang w:val="de-DE"/>
        </w:rPr>
        <w:fldChar w:fldCharType="end"/>
      </w:r>
      <w:r>
        <w:rPr>
          <w:rFonts w:asciiTheme="minorHAnsi" w:hAnsiTheme="minorHAnsi" w:cstheme="minorHAnsi"/>
          <w:color w:val="000000"/>
          <w:sz w:val="23"/>
          <w:szCs w:val="23"/>
          <w:lang w:val="de-DE"/>
        </w:rPr>
        <w:t xml:space="preserve">-Familien aus anpassbaren Stacksignalen, die die UL-Zulassung für allgemeine Signalgebungsanwendungen wie Statusanzeige, Sicherheit und Prozesssteuerung haben. Die STA-Stacks verfügen über einen kompakten Alarmtongeber SONF1 mit 100 dB(A) und bilden somit eine integrierte akustische/visuelle Einheit; die STB-Familie sind reine Signalleuchten-Arrays. Beide Versionen sind mit zwei, drei oder vier Einheiten in einem Stack-Array erhältlich, die über einen werkseitig montierten internen Kabelstrang in einem gemeinsamen Anschlusskasten zu einem einzigen externen Verbindungspunkt angeschlossen werden. Die UV-beständigen PC-Linsen sind in </w:t>
      </w:r>
      <w:r>
        <w:rPr>
          <w:rFonts w:asciiTheme="minorHAnsi" w:hAnsiTheme="minorHAnsi" w:cstheme="minorHAnsi"/>
          <w:lang w:val="de-DE"/>
        </w:rPr>
        <w:t xml:space="preserve">Orange, Blau, Transparent, Grün, Magenta, Rot und Gelb </w:t>
      </w:r>
      <w:r>
        <w:rPr>
          <w:rFonts w:asciiTheme="minorHAnsi" w:hAnsiTheme="minorHAnsi" w:cstheme="minorHAnsi"/>
          <w:color w:val="000000"/>
          <w:sz w:val="23"/>
          <w:szCs w:val="23"/>
          <w:lang w:val="de-DE"/>
        </w:rPr>
        <w:t>erhältlich</w:t>
      </w:r>
      <w:r>
        <w:rPr>
          <w:rFonts w:asciiTheme="minorHAnsi" w:hAnsiTheme="minorHAnsi" w:cstheme="minorHAnsi"/>
          <w:lang w:val="de-DE"/>
        </w:rPr>
        <w:t>.</w:t>
      </w:r>
    </w:p>
    <w:p>
      <w:pPr>
        <w:widowControl/>
        <w:autoSpaceDE w:val="0"/>
        <w:autoSpaceDN w:val="0"/>
        <w:adjustRightInd w:val="0"/>
        <w:rPr>
          <w:lang w:val="de-DE"/>
        </w:rPr>
      </w:pPr>
    </w:p>
    <w:p>
      <w:pPr>
        <w:widowControl/>
        <w:autoSpaceDE w:val="0"/>
        <w:autoSpaceDN w:val="0"/>
        <w:adjustRightInd w:val="0"/>
      </w:pPr>
      <w:r>
        <w:t xml:space="preserve">*** Ende: </w:t>
      </w:r>
      <w:proofErr w:type="spellStart"/>
      <w:r>
        <w:t>Hauptteil</w:t>
      </w:r>
      <w:proofErr w:type="spellEnd"/>
      <w:r>
        <w:t xml:space="preserve"> 307 </w:t>
      </w:r>
      <w:proofErr w:type="spellStart"/>
      <w:r>
        <w:t>Wörter</w:t>
      </w:r>
      <w:proofErr w:type="spellEnd"/>
      <w:r>
        <w:t xml:space="preserve"> ***</w:t>
      </w:r>
    </w:p>
    <w:p>
      <w:pPr>
        <w:widowControl/>
        <w:autoSpaceDE w:val="0"/>
        <w:autoSpaceDN w:val="0"/>
        <w:adjustRightInd w:val="0"/>
      </w:pPr>
    </w:p>
    <w:p>
      <w:pPr>
        <w:widowControl/>
        <w:rPr>
          <w:rFonts w:cs="Arial"/>
          <w:b/>
          <w:lang w:val="de-DE" w:eastAsia="en-GB"/>
        </w:rPr>
      </w:pPr>
      <w:r>
        <w:rPr>
          <w:rFonts w:cs="Arial"/>
          <w:b/>
          <w:lang w:val="de-DE" w:eastAsia="en-GB"/>
        </w:rPr>
        <w:br w:type="page"/>
      </w:r>
    </w:p>
    <w:p>
      <w:pPr>
        <w:rPr>
          <w:rFonts w:cs="Arial"/>
          <w:b/>
          <w:lang w:val="de-DE" w:eastAsia="en-GB"/>
        </w:rPr>
      </w:pPr>
      <w:r>
        <w:rPr>
          <w:rFonts w:cs="Arial"/>
          <w:b/>
          <w:lang w:val="de-DE" w:eastAsia="en-GB"/>
        </w:rPr>
        <w:lastRenderedPageBreak/>
        <w:t>Hinweise an die Redaktion:</w:t>
      </w:r>
    </w:p>
    <w:p>
      <w:pPr>
        <w:rPr>
          <w:rFonts w:cs="Arial"/>
          <w:lang w:val="de-DE" w:eastAsia="en-GB"/>
        </w:rPr>
      </w:pPr>
    </w:p>
    <w:p>
      <w:pPr>
        <w:rPr>
          <w:rFonts w:cs="Arial"/>
          <w:lang w:val="de-DE" w:eastAsia="en-GB"/>
        </w:rPr>
      </w:pPr>
      <w:r>
        <w:rPr>
          <w:rFonts w:cs="Arial"/>
          <w:lang w:val="de-DE" w:eastAsia="en-GB"/>
        </w:rPr>
        <w:t>Im Falle weiterer Rückfragen kontaktieren Sie bitte:</w:t>
      </w:r>
    </w:p>
    <w:p>
      <w:pPr>
        <w:rPr>
          <w:rFonts w:cs="Arial"/>
          <w:lang w:eastAsia="en-GB"/>
        </w:rPr>
      </w:pPr>
    </w:p>
    <w:p>
      <w:pPr>
        <w:rPr>
          <w:rFonts w:cs="Arial"/>
          <w:lang w:eastAsia="en-GB"/>
        </w:rPr>
      </w:pPr>
      <w:r>
        <w:rPr>
          <w:rFonts w:cs="Arial"/>
          <w:lang w:eastAsia="en-GB"/>
        </w:rPr>
        <w:t>Nigel May</w:t>
      </w:r>
    </w:p>
    <w:p>
      <w:pPr>
        <w:rPr>
          <w:rFonts w:cs="Arial"/>
          <w:lang w:eastAsia="en-GB"/>
        </w:rPr>
      </w:pPr>
      <w:r>
        <w:rPr>
          <w:rFonts w:cs="Arial"/>
          <w:lang w:eastAsia="en-GB"/>
        </w:rPr>
        <w:t>Parkfield Communications Limited</w:t>
      </w:r>
    </w:p>
    <w:p>
      <w:pPr>
        <w:rPr>
          <w:rFonts w:cs="Arial"/>
          <w:lang w:val="de-DE" w:eastAsia="en-GB"/>
        </w:rPr>
      </w:pPr>
      <w:r>
        <w:rPr>
          <w:rFonts w:cs="Arial"/>
          <w:lang w:val="de-DE" w:eastAsia="en-GB"/>
        </w:rPr>
        <w:t>Parkfield House</w:t>
      </w:r>
    </w:p>
    <w:p>
      <w:pPr>
        <w:rPr>
          <w:rFonts w:cs="Arial"/>
          <w:lang w:val="de-DE" w:eastAsia="en-GB"/>
        </w:rPr>
      </w:pPr>
      <w:r>
        <w:rPr>
          <w:rFonts w:cs="Arial"/>
          <w:lang w:val="de-DE" w:eastAsia="en-GB"/>
        </w:rPr>
        <w:t>Damerham</w:t>
      </w:r>
    </w:p>
    <w:p>
      <w:pPr>
        <w:rPr>
          <w:rFonts w:cs="Arial"/>
          <w:lang w:val="de-DE" w:eastAsia="en-GB"/>
        </w:rPr>
      </w:pPr>
      <w:r>
        <w:rPr>
          <w:rFonts w:cs="Arial"/>
          <w:lang w:val="de-DE" w:eastAsia="en-GB"/>
        </w:rPr>
        <w:t>SP6 3HQ</w:t>
      </w:r>
    </w:p>
    <w:p>
      <w:pPr>
        <w:rPr>
          <w:rFonts w:cs="Arial"/>
          <w:lang w:val="de-DE" w:eastAsia="en-GB"/>
        </w:rPr>
      </w:pPr>
      <w:r>
        <w:rPr>
          <w:rFonts w:cs="Arial"/>
          <w:lang w:val="de-DE" w:eastAsia="en-GB"/>
        </w:rPr>
        <w:t>Großbritannien</w:t>
      </w:r>
    </w:p>
    <w:p>
      <w:pPr>
        <w:rPr>
          <w:rFonts w:cs="Arial"/>
          <w:lang w:val="de-DE" w:eastAsia="en-GB"/>
        </w:rPr>
      </w:pPr>
      <w:r>
        <w:rPr>
          <w:rFonts w:cs="Arial"/>
          <w:lang w:val="de-DE" w:eastAsia="en-GB"/>
        </w:rPr>
        <w:t>Tel: + 44 (0)1725 518321</w:t>
      </w:r>
    </w:p>
    <w:bookmarkStart w:id="0" w:name="_GoBack"/>
    <w:bookmarkEnd w:id="0"/>
    <w:p>
      <w:pPr>
        <w:rPr>
          <w:rFonts w:cs="Arial"/>
          <w:lang w:eastAsia="en-GB"/>
        </w:rPr>
      </w:pPr>
      <w:r>
        <w:rPr>
          <w:rFonts w:cstheme="minorBidi"/>
          <w:lang w:eastAsia="en-US"/>
        </w:rPr>
        <w:fldChar w:fldCharType="begin"/>
      </w:r>
      <w:r>
        <w:instrText xml:space="preserve"> HYPERLINK "mailto:nigel.may@parkfield.co.uk" </w:instrText>
      </w:r>
      <w:r>
        <w:rPr>
          <w:rFonts w:cstheme="minorBidi"/>
          <w:lang w:eastAsia="en-US"/>
        </w:rPr>
        <w:fldChar w:fldCharType="separate"/>
      </w:r>
      <w:r>
        <w:rPr>
          <w:rStyle w:val="Hyperlink"/>
          <w:rFonts w:cs="Arial"/>
          <w:lang w:eastAsia="en-GB"/>
        </w:rPr>
        <w:t>nigel.may@parkfield.co.uk</w:t>
      </w:r>
      <w:r>
        <w:rPr>
          <w:rStyle w:val="Hyperlink"/>
          <w:rFonts w:cs="Arial"/>
          <w:lang w:val="fr-FR" w:eastAsia="en-GB"/>
        </w:rPr>
        <w:fldChar w:fldCharType="end"/>
      </w:r>
      <w:r>
        <w:rPr>
          <w:rFonts w:cs="Arial"/>
          <w:lang w:eastAsia="en-GB"/>
        </w:rPr>
        <w:t xml:space="preserve"> </w:t>
      </w:r>
    </w:p>
    <w:p>
      <w:pPr>
        <w:rPr>
          <w:rFonts w:cs="Arial"/>
          <w:lang w:eastAsia="en-GB"/>
        </w:rPr>
      </w:pPr>
      <w:hyperlink r:id="rId8" w:history="1">
        <w:r>
          <w:rPr>
            <w:rStyle w:val="Hyperlink"/>
            <w:rFonts w:cs="Arial"/>
            <w:lang w:eastAsia="en-GB"/>
          </w:rPr>
          <w:t>parkfield.co.uk</w:t>
        </w:r>
      </w:hyperlink>
      <w:r>
        <w:rPr>
          <w:rFonts w:cs="Arial"/>
          <w:lang w:eastAsia="en-GB"/>
        </w:rPr>
        <w:t xml:space="preserve"> </w:t>
      </w:r>
    </w:p>
    <w:p>
      <w:pPr>
        <w:rPr>
          <w:rFonts w:cs="Arial"/>
          <w:lang w:val="de-DE" w:eastAsia="en-GB"/>
        </w:rPr>
      </w:pPr>
      <w:r>
        <w:rPr>
          <w:rFonts w:cs="Arial"/>
          <w:lang w:val="de-DE" w:eastAsia="en-GB"/>
        </w:rPr>
        <w:br/>
        <w:t xml:space="preserve">E2S ist der weltweit größte unabhängige Hersteller von Alarmsignalgeräten. Mit Sitz in West-London, England, konzipiert und fertigt das Unternehmen eine umfassende Auswahl an </w:t>
      </w:r>
      <w:r>
        <w:rPr>
          <w:lang w:val="de-DE"/>
        </w:rPr>
        <w:t xml:space="preserve">akustischen- und optischen Alarmsignalgeräten für Ex Gefahrenzonen, Industrieanlagen und Sirenen zur großflächigen Alarmierung. </w:t>
      </w:r>
      <w:r>
        <w:rPr>
          <w:rFonts w:cs="Arial"/>
          <w:lang w:val="de-DE"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rPr>
          <w:rFonts w:cs="Arial"/>
          <w:lang w:val="de-DE" w:eastAsia="en-GB"/>
        </w:rPr>
      </w:pPr>
    </w:p>
    <w:p>
      <w:pPr>
        <w:rPr>
          <w:rFonts w:cs="Arial"/>
          <w:lang w:eastAsia="en-GB"/>
        </w:rPr>
      </w:pPr>
      <w:r>
        <w:rPr>
          <w:rFonts w:cs="Arial"/>
          <w:lang w:eastAsia="en-GB"/>
        </w:rPr>
        <w:t>E2S Warning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val="de-DE" w:eastAsia="en-GB"/>
        </w:rPr>
      </w:pPr>
      <w:r>
        <w:rPr>
          <w:rFonts w:cs="Arial"/>
          <w:lang w:val="de-DE" w:eastAsia="en-GB"/>
        </w:rPr>
        <w:t>London</w:t>
      </w:r>
    </w:p>
    <w:p>
      <w:pPr>
        <w:rPr>
          <w:rFonts w:cs="Arial"/>
          <w:lang w:val="de-DE" w:eastAsia="en-GB"/>
        </w:rPr>
      </w:pPr>
      <w:r>
        <w:rPr>
          <w:rFonts w:cs="Arial"/>
          <w:lang w:val="de-DE" w:eastAsia="en-GB"/>
        </w:rPr>
        <w:t>W3 7QH</w:t>
      </w:r>
    </w:p>
    <w:p>
      <w:pPr>
        <w:rPr>
          <w:rFonts w:cs="Arial"/>
          <w:lang w:val="de-DE" w:eastAsia="en-GB"/>
        </w:rPr>
      </w:pPr>
      <w:r>
        <w:rPr>
          <w:rFonts w:cs="Arial"/>
          <w:lang w:val="de-DE" w:eastAsia="en-GB"/>
        </w:rPr>
        <w:t>Großbritannien</w:t>
      </w:r>
    </w:p>
    <w:p>
      <w:pPr>
        <w:rPr>
          <w:rFonts w:cs="Arial"/>
          <w:lang w:val="de-DE" w:eastAsia="en-GB"/>
        </w:rPr>
      </w:pPr>
      <w:r>
        <w:rPr>
          <w:rFonts w:cs="Arial"/>
          <w:lang w:val="de-DE"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9"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10" w:history="1">
        <w:r>
          <w:rPr>
            <w:rStyle w:val="Hyperlink"/>
            <w:rFonts w:cs="Arial"/>
            <w:lang w:val="pt-BR" w:eastAsia="en-GB"/>
          </w:rPr>
          <w:t>e2s.com</w:t>
        </w:r>
      </w:hyperlink>
    </w:p>
    <w:p>
      <w:pPr>
        <w:tabs>
          <w:tab w:val="left" w:pos="851"/>
          <w:tab w:val="right" w:pos="9072"/>
        </w:tabs>
        <w:rPr>
          <w:lang w:val="pt-BR"/>
        </w:rPr>
      </w:pPr>
    </w:p>
    <w:p>
      <w:pPr>
        <w:widowControl/>
        <w:autoSpaceDE w:val="0"/>
        <w:autoSpaceDN w:val="0"/>
        <w:adjustRightInd w:val="0"/>
        <w:rPr>
          <w:lang w:val="pt-BR"/>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wsGotMed">
    <w:altName w:val="Calibri"/>
    <w:panose1 w:val="00000000000000000000"/>
    <w:charset w:val="00"/>
    <w:family w:val="modern"/>
    <w:notTrueType/>
    <w:pitch w:val="variable"/>
    <w:sig w:usb0="00000007" w:usb1="00000001" w:usb2="00000000" w:usb3="00000000" w:csb0="00000093" w:csb1="00000000"/>
  </w:font>
  <w:font w:name="Helvetica">
    <w:panose1 w:val="000B0500000000000000"/>
    <w:charset w:val="00"/>
    <w:family w:val="swiss"/>
    <w:pitch w:val="variable"/>
    <w:sig w:usb0="20002A87" w:usb1="00000000" w:usb2="00000000"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printPostScriptOverText/>
  <w:proofState w:spelling="clean" w:grammar="clean"/>
  <w:defaultTabStop w:val="567"/>
  <w:hyphenationZone w:val="425"/>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NewsGotMed" w:hAnsi="NewsGotMed" w:cs="NewsGotMed"/>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qFormat/>
    <w:rPr>
      <w:rFonts w:ascii="Helvetica" w:eastAsia="Times New Roman" w:hAnsi="Helvetica"/>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szCs w:val="21"/>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qFormat/>
    <w:pPr>
      <w:widowControl/>
    </w:pPr>
    <w:rPr>
      <w:szCs w:val="21"/>
    </w:rPr>
  </w:style>
  <w:style w:type="character" w:customStyle="1" w:styleId="PlainTextChar1">
    <w:name w:val="Plain Text Char1"/>
    <w:basedOn w:val="DefaultParagraphFont"/>
    <w:uiPriority w:val="99"/>
    <w:semiHidden/>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e2s.com/product/134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2s.com/product/1344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2s.com" TargetMode="External"/><Relationship Id="rId4" Type="http://schemas.openxmlformats.org/officeDocument/2006/relationships/footnotes" Target="footnotes.xml"/><Relationship Id="rId9"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2020-12-02T11:50:00Z</dcterms:created>
  <dcterms:modified xsi:type="dcterms:W3CDTF">2020-12-02T11:51:00Z</dcterms:modified>
</cp:coreProperties>
</file>