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tabs>
          <w:tab w:val="left" w:pos="851"/>
          <w:tab w:val="right" w:pos="9072"/>
        </w:tabs>
        <w:rPr>
          <w:rFonts w:ascii="MingLiU" w:eastAsia="MingLiU" w:hAnsi="MingLiU" w:cs="SimSun"/>
          <w:b/>
          <w:bCs/>
          <w:color w:val="C00000"/>
          <w:sz w:val="48"/>
          <w:szCs w:val="48"/>
        </w:rPr>
      </w:pPr>
      <w:r>
        <w:rPr>
          <w:rFonts w:ascii="MingLiU" w:eastAsia="MingLiU" w:hAnsi="MingLiU" w:cs="SimSun"/>
          <w:b/>
          <w:bCs/>
          <w:color w:val="C00000"/>
          <w:sz w:val="50"/>
          <w:szCs w:val="50"/>
        </w:rPr>
        <w:t>新闻资料</w:t>
      </w:r>
      <w:r>
        <w:rPr>
          <w:rFonts w:ascii="MingLiU" w:eastAsia="MingLiU" w:hAnsi="MingLiU" w:cs="SimSun"/>
          <w:b/>
          <w:bCs/>
          <w:color w:val="C00000"/>
          <w:sz w:val="48"/>
          <w:szCs w:val="48"/>
        </w:rPr>
        <w:t xml:space="preserve"> </w:t>
      </w:r>
      <w:r>
        <w:rPr>
          <w:rFonts w:ascii="MingLiU" w:eastAsia="MingLiU" w:hAnsi="MingLiU" w:cs="SimSun"/>
          <w:b/>
          <w:bCs/>
          <w:color w:val="C00000"/>
          <w:sz w:val="48"/>
          <w:szCs w:val="48"/>
        </w:rPr>
        <w:tab/>
      </w:r>
    </w:p>
    <w:p>
      <w:pPr>
        <w:rPr>
          <w:rFonts w:ascii="MingLiU" w:hAnsi="MingLiU" w:cs="SimSun"/>
          <w:bCs/>
        </w:rPr>
      </w:pPr>
    </w:p>
    <w:p>
      <w:r>
        <w:rPr>
          <w:rFonts w:ascii="MingLiU" w:eastAsia="MingLiU" w:hAnsi="MingLiU" w:cs="SimSun"/>
          <w:bCs/>
        </w:rPr>
        <w:t xml:space="preserve">要下载 300dpi 打印质量图片，请访问 </w:t>
      </w:r>
      <w:hyperlink r:id="rId7">
        <w:r>
          <w:rPr>
            <w:rStyle w:val="InternetLink"/>
            <w:rFonts w:ascii="MingLiU" w:eastAsia="MingLiU" w:hAnsi="MingLiU" w:cs="SimSun"/>
            <w:bCs/>
            <w:u w:val="none"/>
          </w:rPr>
          <w:t>parkfield.co.uk/e2s/d2xb1ld3-print.jpg</w:t>
        </w:r>
      </w:hyperlink>
    </w:p>
    <w:p>
      <w:pPr>
        <w:rPr>
          <w:rFonts w:ascii="MingLiU" w:hAnsi="MingLiU" w:cs="SimSun"/>
          <w:bCs/>
        </w:rPr>
      </w:pPr>
    </w:p>
    <w:p>
      <w:r>
        <w:rPr>
          <w:rFonts w:ascii="MingLiU" w:eastAsia="MingLiU" w:hAnsi="MingLiU" w:cs="SimSun"/>
          <w:bCs/>
        </w:rPr>
        <w:t xml:space="preserve">要下载 Word 格式文章，请访问 </w:t>
      </w:r>
      <w:hyperlink r:id="rId8">
        <w:r>
          <w:rPr>
            <w:rStyle w:val="InternetLink"/>
            <w:rFonts w:ascii="MingLiU" w:eastAsia="MingLiU" w:hAnsi="MingLiU" w:cs="SimSun"/>
            <w:bCs/>
            <w:u w:val="none"/>
          </w:rPr>
          <w:t>parkfield.co.uk/e2s/d2xb1ld3-cn.docx</w:t>
        </w:r>
      </w:hyperlink>
    </w:p>
    <w:p>
      <w:pPr>
        <w:rPr>
          <w:rFonts w:ascii="MingLiU" w:hAnsi="MingLiU" w:cs="SimSun"/>
          <w:bCs/>
        </w:rPr>
      </w:pPr>
    </w:p>
    <w:p>
      <w:r>
        <w:rPr>
          <w:rFonts w:ascii="MingLiU" w:eastAsia="MingLiU" w:hAnsi="MingLiU" w:cs="SimSun"/>
          <w:bCs/>
        </w:rPr>
        <w:t xml:space="preserve">要查看全部 E2S 新闻资料，请访问 </w:t>
      </w:r>
      <w:hyperlink r:id="rId9">
        <w:r>
          <w:rPr>
            <w:rStyle w:val="InternetLink"/>
            <w:rFonts w:ascii="MingLiU" w:eastAsia="MingLiU" w:hAnsi="MingLiU" w:cs="SimSun"/>
            <w:bCs/>
            <w:u w:val="none"/>
          </w:rPr>
          <w:t>parkfield.co.uk/e2s/</w:t>
        </w:r>
      </w:hyperlink>
      <w:r>
        <w:rPr>
          <w:rFonts w:ascii="MingLiU" w:eastAsia="MingLiU" w:hAnsi="MingLiU"/>
        </w:rPr>
        <w:br/>
      </w:r>
    </w:p>
    <w:p>
      <w:pPr>
        <w:tabs>
          <w:tab w:val="left" w:pos="851"/>
          <w:tab w:val="right" w:pos="9072"/>
        </w:tabs>
        <w:rPr>
          <w:b/>
        </w:rPr>
      </w:pPr>
      <w:r>
        <w:rPr>
          <w:rFonts w:hint="eastAsia"/>
          <w:b/>
        </w:rPr>
        <w:t xml:space="preserve">E2S </w:t>
      </w:r>
      <w:r>
        <w:rPr>
          <w:rFonts w:hint="eastAsia"/>
          <w:b/>
        </w:rPr>
        <w:t>推出有史以来亮度最大的危险场地</w:t>
      </w:r>
      <w:r>
        <w:rPr>
          <w:rFonts w:hint="eastAsia"/>
          <w:b/>
        </w:rPr>
        <w:t xml:space="preserve"> UL1971 LED </w:t>
      </w:r>
      <w:r>
        <w:rPr>
          <w:rFonts w:hint="eastAsia"/>
          <w:b/>
        </w:rPr>
        <w:t>火灾报警信标</w:t>
      </w:r>
    </w:p>
    <w:p>
      <w:pPr>
        <w:tabs>
          <w:tab w:val="left" w:pos="851"/>
          <w:tab w:val="right" w:pos="9072"/>
        </w:tabs>
        <w:rPr>
          <w:b/>
        </w:rPr>
      </w:pPr>
    </w:p>
    <w:p>
      <w:pPr>
        <w:tabs>
          <w:tab w:val="left" w:pos="851"/>
          <w:tab w:val="right" w:pos="9072"/>
        </w:tabs>
      </w:pPr>
      <w:r>
        <w:rPr>
          <w:rFonts w:hint="eastAsia"/>
        </w:rPr>
        <w:t>E2S Warning Signals</w:t>
      </w:r>
      <w:r>
        <w:rPr>
          <w:rFonts w:hint="eastAsia"/>
        </w:rPr>
        <w:t>生产的新型危险场地</w:t>
      </w:r>
      <w:r>
        <w:rPr>
          <w:rFonts w:hint="eastAsia"/>
        </w:rPr>
        <w:t xml:space="preserve"> </w:t>
      </w:r>
      <w:hyperlink r:id="rId10" w:history="1">
        <w:r>
          <w:rPr>
            <w:rStyle w:val="Hyperlink"/>
            <w:rFonts w:hint="eastAsia"/>
          </w:rPr>
          <w:t xml:space="preserve">D2xB1LD3 LED </w:t>
        </w:r>
        <w:r>
          <w:rPr>
            <w:rStyle w:val="Hyperlink"/>
            <w:rFonts w:hint="eastAsia"/>
          </w:rPr>
          <w:t>信标</w:t>
        </w:r>
      </w:hyperlink>
      <w:r>
        <w:rPr>
          <w:rFonts w:hint="eastAsia"/>
        </w:rPr>
        <w:t>在</w:t>
      </w:r>
      <w:r>
        <w:rPr>
          <w:rFonts w:hint="eastAsia"/>
        </w:rPr>
        <w:t xml:space="preserve"> UL1971 </w:t>
      </w:r>
      <w:r>
        <w:rPr>
          <w:rFonts w:hint="eastAsia"/>
        </w:rPr>
        <w:t>测试条件下产生的有效光照强度等级可达</w:t>
      </w:r>
      <w:r>
        <w:rPr>
          <w:rFonts w:hint="eastAsia"/>
        </w:rPr>
        <w:t xml:space="preserve"> 82.1 cd</w:t>
      </w:r>
      <w:r>
        <w:rPr>
          <w:rFonts w:hint="eastAsia"/>
        </w:rPr>
        <w:t>，是符合</w:t>
      </w:r>
      <w:r>
        <w:rPr>
          <w:rFonts w:hint="eastAsia"/>
        </w:rPr>
        <w:t xml:space="preserve"> UL1971 </w:t>
      </w:r>
      <w:r>
        <w:rPr>
          <w:rFonts w:hint="eastAsia"/>
        </w:rPr>
        <w:t>标准、亮度最大的可视紧急信号装置，适用于危险场地的公共火灾报警装置中。符合</w:t>
      </w:r>
      <w:r>
        <w:rPr>
          <w:rFonts w:hint="eastAsia"/>
        </w:rPr>
        <w:t xml:space="preserve"> NFPA 72 </w:t>
      </w:r>
      <w:r>
        <w:rPr>
          <w:rFonts w:hint="eastAsia"/>
        </w:rPr>
        <w:t>标准的</w:t>
      </w:r>
      <w:r>
        <w:rPr>
          <w:rFonts w:hint="eastAsia"/>
        </w:rPr>
        <w:t xml:space="preserve"> 20ms </w:t>
      </w:r>
      <w:r>
        <w:rPr>
          <w:rFonts w:hint="eastAsia"/>
        </w:rPr>
        <w:t>高强度脉冲所产生的光能输出亮度，等同于传统闪光灯，但具备超低能耗</w:t>
      </w:r>
      <w:r>
        <w:rPr>
          <w:rFonts w:hint="eastAsia"/>
        </w:rPr>
        <w:t xml:space="preserve"> (150mA) </w:t>
      </w:r>
      <w:r>
        <w:rPr>
          <w:rFonts w:hint="eastAsia"/>
        </w:rPr>
        <w:t>和低浪涌电流等特性。安装有高输出</w:t>
      </w:r>
      <w:r>
        <w:rPr>
          <w:rFonts w:hint="eastAsia"/>
        </w:rPr>
        <w:t xml:space="preserve"> LED </w:t>
      </w:r>
      <w:r>
        <w:rPr>
          <w:rFonts w:hint="eastAsia"/>
        </w:rPr>
        <w:t>阵列，用以优化全方位的可见性。</w:t>
      </w:r>
      <w:r>
        <w:rPr>
          <w:rFonts w:hint="eastAsia"/>
        </w:rPr>
        <w:t xml:space="preserve">D2xB1LD3 </w:t>
      </w:r>
      <w:r>
        <w:rPr>
          <w:rFonts w:hint="eastAsia"/>
        </w:rPr>
        <w:t>包含有监控二极管和双排插拔式接线端子，不仅可简化安装工作，还实现了四线连接。当由同一电源供电时，多个单元将自动同步，不再需要安装额外的同步模块，并降低了供电需求。经</w:t>
      </w:r>
      <w:r>
        <w:rPr>
          <w:rFonts w:hint="eastAsia"/>
        </w:rPr>
        <w:t xml:space="preserve"> UL</w:t>
      </w:r>
      <w:r>
        <w:rPr>
          <w:rFonts w:hint="eastAsia"/>
        </w:rPr>
        <w:t>、</w:t>
      </w:r>
      <w:r>
        <w:rPr>
          <w:rFonts w:hint="eastAsia"/>
        </w:rPr>
        <w:t xml:space="preserve">cUL </w:t>
      </w:r>
      <w:r>
        <w:rPr>
          <w:rFonts w:hint="eastAsia"/>
        </w:rPr>
        <w:t>和</w:t>
      </w:r>
      <w:r>
        <w:rPr>
          <w:rFonts w:hint="eastAsia"/>
        </w:rPr>
        <w:t xml:space="preserve"> ULC </w:t>
      </w:r>
      <w:r>
        <w:rPr>
          <w:rFonts w:hint="eastAsia"/>
        </w:rPr>
        <w:t>全球认证，适用于一类</w:t>
      </w:r>
      <w:r>
        <w:rPr>
          <w:rFonts w:hint="eastAsia"/>
        </w:rPr>
        <w:t xml:space="preserve"> 2 </w:t>
      </w:r>
      <w:r>
        <w:rPr>
          <w:rFonts w:hint="eastAsia"/>
        </w:rPr>
        <w:t>区、二类</w:t>
      </w:r>
      <w:r>
        <w:rPr>
          <w:rFonts w:hint="eastAsia"/>
        </w:rPr>
        <w:t xml:space="preserve"> 2 </w:t>
      </w:r>
      <w:r>
        <w:rPr>
          <w:rFonts w:hint="eastAsia"/>
        </w:rPr>
        <w:t>区、一类</w:t>
      </w:r>
      <w:r>
        <w:rPr>
          <w:rFonts w:hint="eastAsia"/>
        </w:rPr>
        <w:t xml:space="preserve"> 2/22 </w:t>
      </w:r>
      <w:r>
        <w:rPr>
          <w:rFonts w:hint="eastAsia"/>
        </w:rPr>
        <w:t>区，以及经</w:t>
      </w:r>
      <w:r>
        <w:rPr>
          <w:rFonts w:hint="eastAsia"/>
        </w:rPr>
        <w:t xml:space="preserve"> IECEx </w:t>
      </w:r>
      <w:r>
        <w:rPr>
          <w:rFonts w:hint="eastAsia"/>
        </w:rPr>
        <w:t>和</w:t>
      </w:r>
      <w:r>
        <w:rPr>
          <w:rFonts w:hint="eastAsia"/>
        </w:rPr>
        <w:t xml:space="preserve"> ATEX </w:t>
      </w:r>
      <w:r>
        <w:rPr>
          <w:rFonts w:hint="eastAsia"/>
        </w:rPr>
        <w:t>认证，适用于</w:t>
      </w:r>
      <w:r>
        <w:rPr>
          <w:rFonts w:hint="eastAsia"/>
        </w:rPr>
        <w:t xml:space="preserve"> 2 </w:t>
      </w:r>
      <w:r>
        <w:rPr>
          <w:rFonts w:hint="eastAsia"/>
        </w:rPr>
        <w:t>区和</w:t>
      </w:r>
      <w:r>
        <w:rPr>
          <w:rFonts w:hint="eastAsia"/>
        </w:rPr>
        <w:t xml:space="preserve"> 22 </w:t>
      </w:r>
      <w:r>
        <w:rPr>
          <w:rFonts w:hint="eastAsia"/>
        </w:rPr>
        <w:t>区危险区域。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rPr>
          <w:rFonts w:hint="eastAsia"/>
        </w:rPr>
        <w:t>为了获得完整的视听报警信号，</w:t>
      </w:r>
      <w:r>
        <w:rPr>
          <w:rFonts w:hint="eastAsia"/>
        </w:rPr>
        <w:t xml:space="preserve">D2xB1LD3 </w:t>
      </w:r>
      <w:r>
        <w:rPr>
          <w:rFonts w:hint="eastAsia"/>
        </w:rPr>
        <w:t>可与</w:t>
      </w:r>
      <w:r>
        <w:rPr>
          <w:rFonts w:hint="eastAsia"/>
        </w:rPr>
        <w:t xml:space="preserve"> D2xS1 </w:t>
      </w:r>
      <w:r>
        <w:rPr>
          <w:rFonts w:hint="eastAsia"/>
        </w:rPr>
        <w:t>报警喇叭发声器组合使用，形成</w:t>
      </w:r>
      <w:r>
        <w:rPr>
          <w:rFonts w:hint="eastAsia"/>
        </w:rPr>
        <w:t xml:space="preserve"> </w:t>
      </w:r>
      <w:hyperlink r:id="rId11" w:history="1">
        <w:r>
          <w:rPr>
            <w:rStyle w:val="Hyperlink"/>
            <w:rFonts w:hint="eastAsia"/>
          </w:rPr>
          <w:t xml:space="preserve">D2xC2LD3 </w:t>
        </w:r>
        <w:r>
          <w:rPr>
            <w:rStyle w:val="Hyperlink"/>
            <w:rFonts w:hint="eastAsia"/>
          </w:rPr>
          <w:t>组合信号</w:t>
        </w:r>
      </w:hyperlink>
      <w:r>
        <w:rPr>
          <w:rFonts w:hint="eastAsia"/>
        </w:rPr>
        <w:t>，其声音输出高达</w:t>
      </w:r>
      <w:r>
        <w:rPr>
          <w:rFonts w:hint="eastAsia"/>
        </w:rPr>
        <w:t xml:space="preserve"> 116 dB(A)</w:t>
      </w:r>
      <w:r>
        <w:rPr>
          <w:rFonts w:hint="eastAsia"/>
        </w:rPr>
        <w:t>，内置</w:t>
      </w:r>
      <w:r>
        <w:rPr>
          <w:rFonts w:hint="eastAsia"/>
        </w:rPr>
        <w:t xml:space="preserve"> 64 </w:t>
      </w:r>
      <w:r>
        <w:rPr>
          <w:rFonts w:hint="eastAsia"/>
        </w:rPr>
        <w:t>种警报音和</w:t>
      </w:r>
      <w:r>
        <w:rPr>
          <w:rFonts w:hint="eastAsia"/>
        </w:rPr>
        <w:t xml:space="preserve"> 4 </w:t>
      </w:r>
      <w:r>
        <w:rPr>
          <w:rFonts w:hint="eastAsia"/>
        </w:rPr>
        <w:t>种远程可选级别</w:t>
      </w:r>
      <w:r>
        <w:rPr>
          <w:rFonts w:hint="eastAsia"/>
        </w:rPr>
        <w:t>/</w:t>
      </w:r>
      <w:r>
        <w:rPr>
          <w:rFonts w:hint="eastAsia"/>
        </w:rPr>
        <w:t>通道。在由同一电源供电时，多单元系统上的报警音也将自动同步。该信标可以内连至报警喇叭，最大限度地减少了布线要求和安装时间。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  <w:r>
        <w:rPr>
          <w:rFonts w:hint="eastAsia"/>
        </w:rPr>
        <w:t xml:space="preserve">D2x </w:t>
      </w:r>
      <w:r>
        <w:rPr>
          <w:rFonts w:hint="eastAsia"/>
        </w:rPr>
        <w:t>系列的所有产品都内置于船舶级铝质外壳中，防护等级达</w:t>
      </w:r>
      <w:r>
        <w:rPr>
          <w:rFonts w:hint="eastAsia"/>
        </w:rPr>
        <w:t xml:space="preserve"> IP66</w:t>
      </w:r>
      <w:r>
        <w:rPr>
          <w:rFonts w:hint="eastAsia"/>
        </w:rPr>
        <w:t>，</w:t>
      </w:r>
      <w:r>
        <w:rPr>
          <w:rFonts w:hint="eastAsia"/>
        </w:rPr>
        <w:t xml:space="preserve">NEMA 4 </w:t>
      </w:r>
      <w:r>
        <w:rPr>
          <w:rFonts w:hint="eastAsia"/>
        </w:rPr>
        <w:t>和</w:t>
      </w:r>
      <w:r>
        <w:rPr>
          <w:rFonts w:hint="eastAsia"/>
        </w:rPr>
        <w:t xml:space="preserve"> 4X </w:t>
      </w:r>
      <w:r>
        <w:rPr>
          <w:rFonts w:hint="eastAsia"/>
        </w:rPr>
        <w:t>类，即使在最恶劣的环境下也可提供保护。</w:t>
      </w: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  <w:rPr>
          <w:rFonts w:cs="Calibri"/>
          <w:color w:val="000000" w:themeColor="text1"/>
        </w:rPr>
      </w:pPr>
      <w:r>
        <w:rPr>
          <w:rFonts w:hint="eastAsia"/>
          <w:color w:val="000000" w:themeColor="text1"/>
        </w:rPr>
        <w:t xml:space="preserve">*** </w:t>
      </w:r>
      <w:r>
        <w:rPr>
          <w:rFonts w:hint="eastAsia"/>
          <w:color w:val="000000" w:themeColor="text1"/>
        </w:rPr>
        <w:t>结尾：正文字数为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>461</w:t>
      </w:r>
      <w:r>
        <w:rPr>
          <w:rFonts w:hint="eastAsia"/>
          <w:color w:val="000000" w:themeColor="text1"/>
        </w:rPr>
        <w:t>***</w:t>
      </w:r>
    </w:p>
    <w:p>
      <w:pPr>
        <w:tabs>
          <w:tab w:val="left" w:pos="851"/>
          <w:tab w:val="right" w:pos="9072"/>
        </w:tabs>
        <w:rPr>
          <w:vanish/>
        </w:rPr>
      </w:pPr>
      <w:r>
        <w:rPr>
          <w:rFonts w:hint="eastAsia"/>
          <w:vanish/>
        </w:rPr>
        <w:t>***Ends: body copy 274 words ***</w:t>
      </w:r>
    </w:p>
    <w:p>
      <w:pPr>
        <w:tabs>
          <w:tab w:val="left" w:pos="851"/>
          <w:tab w:val="right" w:pos="9072"/>
        </w:tabs>
      </w:pPr>
    </w:p>
    <w:p>
      <w:pPr>
        <w:widowControl/>
        <w:rPr>
          <w:b/>
          <w:szCs w:val="24"/>
          <w:lang w:val="zh-CN"/>
        </w:rPr>
      </w:pPr>
      <w:r>
        <w:rPr>
          <w:b/>
          <w:szCs w:val="24"/>
          <w:lang w:val="zh-CN"/>
        </w:rPr>
        <w:br w:type="page"/>
      </w:r>
    </w:p>
    <w:p>
      <w:pPr>
        <w:spacing w:line="260" w:lineRule="auto"/>
        <w:rPr>
          <w:b/>
          <w:szCs w:val="24"/>
          <w:lang w:val="zh-CN"/>
        </w:rPr>
      </w:pPr>
      <w:r>
        <w:rPr>
          <w:rFonts w:hint="eastAsia"/>
          <w:b/>
          <w:szCs w:val="24"/>
          <w:lang w:val="zh-CN"/>
        </w:rPr>
        <w:lastRenderedPageBreak/>
        <w:t>编者按</w:t>
      </w:r>
    </w:p>
    <w:p>
      <w:pPr>
        <w:spacing w:line="260" w:lineRule="auto"/>
        <w:rPr>
          <w:b/>
          <w:szCs w:val="24"/>
        </w:rPr>
      </w:pPr>
      <w:r>
        <w:rPr>
          <w:rFonts w:hint="eastAsia"/>
          <w:b/>
          <w:szCs w:val="24"/>
        </w:rPr>
        <w:t>发布于</w:t>
      </w:r>
      <w:r>
        <w:rPr>
          <w:rFonts w:hint="eastAsia"/>
          <w:b/>
          <w:szCs w:val="24"/>
        </w:rPr>
        <w:t xml:space="preserve"> </w:t>
      </w:r>
      <w:bookmarkStart w:id="0" w:name="_GoBack"/>
      <w:bookmarkEnd w:id="0"/>
      <w:r>
        <w:rPr>
          <w:rFonts w:hint="eastAsia"/>
          <w:b/>
          <w:szCs w:val="24"/>
        </w:rPr>
        <w:t>2020</w:t>
      </w:r>
      <w:r>
        <w:rPr>
          <w:rFonts w:hint="eastAsia"/>
          <w:b/>
          <w:szCs w:val="24"/>
        </w:rPr>
        <w:t>年</w:t>
      </w:r>
      <w:r>
        <w:rPr>
          <w:rFonts w:hint="eastAsia"/>
          <w:b/>
          <w:szCs w:val="24"/>
        </w:rPr>
        <w:t>1</w:t>
      </w:r>
      <w:r>
        <w:rPr>
          <w:rFonts w:hint="eastAsia"/>
          <w:b/>
          <w:szCs w:val="24"/>
        </w:rPr>
        <w:t>月</w:t>
      </w:r>
      <w:r>
        <w:rPr>
          <w:rFonts w:hint="eastAsia"/>
          <w:b/>
          <w:szCs w:val="24"/>
        </w:rPr>
        <w:t>27</w:t>
      </w:r>
      <w:r>
        <w:rPr>
          <w:rFonts w:hint="eastAsia"/>
          <w:b/>
          <w:szCs w:val="24"/>
        </w:rPr>
        <w:t>日</w:t>
      </w:r>
    </w:p>
    <w:p>
      <w:pPr>
        <w:spacing w:line="260" w:lineRule="auto"/>
        <w:rPr>
          <w:b/>
          <w:szCs w:val="24"/>
        </w:rPr>
      </w:pP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所有后续问询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请联系以下人员</w:t>
      </w:r>
      <w:r>
        <w:rPr>
          <w:rFonts w:hint="eastAsia"/>
          <w:szCs w:val="24"/>
        </w:rPr>
        <w:t>：</w:t>
      </w:r>
      <w:r>
        <w:rPr>
          <w:szCs w:val="24"/>
        </w:rPr>
        <w:tab/>
      </w:r>
    </w:p>
    <w:p>
      <w:pPr>
        <w:rPr>
          <w:noProof/>
          <w:szCs w:val="24"/>
        </w:rPr>
      </w:pPr>
    </w:p>
    <w:p>
      <w:pPr>
        <w:rPr>
          <w:szCs w:val="24"/>
        </w:rPr>
      </w:pPr>
      <w:r>
        <w:rPr>
          <w:noProof/>
          <w:szCs w:val="24"/>
        </w:rPr>
        <w:t>Nigel May</w:t>
      </w:r>
      <w:r>
        <w:rPr>
          <w:szCs w:val="24"/>
        </w:rPr>
        <w:tab/>
      </w:r>
    </w:p>
    <w:p>
      <w:pPr>
        <w:rPr>
          <w:szCs w:val="24"/>
        </w:rPr>
      </w:pPr>
      <w:r>
        <w:rPr>
          <w:noProof/>
          <w:szCs w:val="24"/>
        </w:rPr>
        <w:t>Parkfield Communications Limited</w:t>
      </w:r>
    </w:p>
    <w:p>
      <w:pPr>
        <w:rPr>
          <w:szCs w:val="24"/>
        </w:rPr>
      </w:pPr>
      <w:r>
        <w:rPr>
          <w:noProof/>
          <w:szCs w:val="24"/>
        </w:rPr>
        <w:t>Parkfield House</w:t>
      </w:r>
    </w:p>
    <w:p>
      <w:pPr>
        <w:rPr>
          <w:szCs w:val="24"/>
        </w:rPr>
      </w:pPr>
      <w:r>
        <w:rPr>
          <w:noProof/>
          <w:szCs w:val="24"/>
        </w:rPr>
        <w:t>Damerham</w:t>
      </w:r>
    </w:p>
    <w:p>
      <w:pPr>
        <w:rPr>
          <w:szCs w:val="24"/>
        </w:rPr>
      </w:pPr>
      <w:r>
        <w:rPr>
          <w:noProof/>
          <w:szCs w:val="24"/>
        </w:rPr>
        <w:t>SP6 3HQ</w:t>
      </w:r>
    </w:p>
    <w:p>
      <w:pPr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+ 44 (0)1725 518321</w:t>
      </w: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传真</w:t>
      </w:r>
      <w:r>
        <w:rPr>
          <w:rFonts w:hint="eastAsia"/>
          <w:szCs w:val="24"/>
        </w:rPr>
        <w:t>：</w:t>
      </w:r>
      <w:r>
        <w:rPr>
          <w:szCs w:val="24"/>
        </w:rPr>
        <w:t xml:space="preserve"> + 44 (0)1725 518378</w:t>
      </w:r>
    </w:p>
    <w:p>
      <w:pPr>
        <w:rPr>
          <w:szCs w:val="24"/>
        </w:rPr>
      </w:pPr>
      <w:hyperlink r:id="rId12" w:history="1">
        <w:r>
          <w:rPr>
            <w:rStyle w:val="Hyperlink"/>
            <w:rFonts w:cs="Calibri"/>
            <w:noProof/>
            <w:szCs w:val="24"/>
          </w:rPr>
          <w:t>nigel.may@parkfield.co.uk</w:t>
        </w:r>
      </w:hyperlink>
      <w:r>
        <w:rPr>
          <w:noProof/>
          <w:szCs w:val="24"/>
        </w:rPr>
        <w:t xml:space="preserve"> </w:t>
      </w:r>
    </w:p>
    <w:p>
      <w:pPr>
        <w:rPr>
          <w:szCs w:val="24"/>
        </w:rPr>
      </w:pPr>
      <w:hyperlink r:id="rId13" w:history="1">
        <w:r>
          <w:rPr>
            <w:rStyle w:val="Hyperlink"/>
            <w:rFonts w:cs="Calibri"/>
            <w:noProof/>
            <w:szCs w:val="24"/>
          </w:rPr>
          <w:t>parkfield.co.uk</w:t>
        </w:r>
      </w:hyperlink>
      <w:r>
        <w:rPr>
          <w:noProof/>
          <w:szCs w:val="24"/>
        </w:rPr>
        <w:t xml:space="preserve"> </w:t>
      </w:r>
    </w:p>
    <w:p>
      <w:pPr>
        <w:spacing w:line="260" w:lineRule="auto"/>
        <w:rPr>
          <w:szCs w:val="24"/>
        </w:rPr>
      </w:pPr>
      <w:r>
        <w:rPr>
          <w:szCs w:val="24"/>
        </w:rPr>
        <w:br/>
        <w:t>E2S</w:t>
      </w:r>
      <w:r>
        <w:rPr>
          <w:rFonts w:hint="eastAsia"/>
          <w:szCs w:val="24"/>
          <w:lang w:val="zh-CN"/>
        </w:rPr>
        <w:t>是世界领先的独立信号产品制造商</w:t>
      </w:r>
      <w:r>
        <w:rPr>
          <w:rFonts w:hint="eastAsia"/>
          <w:szCs w:val="24"/>
        </w:rPr>
        <w:t>，</w:t>
      </w:r>
      <w:r>
        <w:rPr>
          <w:rFonts w:hint="eastAsia"/>
          <w:szCs w:val="24"/>
          <w:lang w:val="zh-CN"/>
        </w:rPr>
        <w:t>设计并制造全套工业环境、海洋环境以及危险区域环境用信号产品。公司总部位于英格兰西伦敦。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产品通过销售网络行销全球。经销商详情见公司网站。另外</w:t>
      </w:r>
      <w:r>
        <w:rPr>
          <w:rFonts w:hint="eastAsia"/>
          <w:szCs w:val="24"/>
          <w:lang w:val="en-US"/>
        </w:rPr>
        <w:t>，</w:t>
      </w:r>
      <w:r>
        <w:rPr>
          <w:szCs w:val="24"/>
          <w:lang w:val="en-US"/>
        </w:rPr>
        <w:t>E2S</w:t>
      </w:r>
      <w:r>
        <w:rPr>
          <w:rFonts w:hint="eastAsia"/>
          <w:szCs w:val="24"/>
          <w:lang w:val="zh-CN"/>
        </w:rPr>
        <w:t>在得克萨斯州休斯敦设有专门的经销中心</w:t>
      </w:r>
      <w:r>
        <w:rPr>
          <w:rFonts w:hint="eastAsia"/>
          <w:szCs w:val="24"/>
          <w:lang w:val="en-US"/>
        </w:rPr>
        <w:t>，</w:t>
      </w:r>
      <w:r>
        <w:rPr>
          <w:rFonts w:hint="eastAsia"/>
          <w:szCs w:val="24"/>
          <w:lang w:val="zh-CN"/>
        </w:rPr>
        <w:t>负责当地产品经销和技术支持。</w:t>
      </w:r>
    </w:p>
    <w:p>
      <w:pPr>
        <w:rPr>
          <w:noProof/>
          <w:szCs w:val="24"/>
        </w:rPr>
      </w:pPr>
    </w:p>
    <w:p>
      <w:pPr>
        <w:rPr>
          <w:szCs w:val="24"/>
        </w:rPr>
      </w:pPr>
      <w:r>
        <w:rPr>
          <w:noProof/>
          <w:szCs w:val="24"/>
        </w:rPr>
        <w:t>E2S Warning Signals</w:t>
      </w:r>
    </w:p>
    <w:p>
      <w:pPr>
        <w:rPr>
          <w:szCs w:val="24"/>
        </w:rPr>
      </w:pPr>
      <w:r>
        <w:rPr>
          <w:noProof/>
          <w:szCs w:val="24"/>
        </w:rPr>
        <w:t>Impress House</w:t>
      </w:r>
    </w:p>
    <w:p>
      <w:pPr>
        <w:rPr>
          <w:szCs w:val="24"/>
        </w:rPr>
      </w:pPr>
      <w:r>
        <w:rPr>
          <w:noProof/>
          <w:szCs w:val="24"/>
        </w:rPr>
        <w:t>Mansell Road</w:t>
      </w:r>
    </w:p>
    <w:p>
      <w:pPr>
        <w:rPr>
          <w:szCs w:val="24"/>
        </w:rPr>
      </w:pPr>
      <w:r>
        <w:rPr>
          <w:noProof/>
          <w:szCs w:val="24"/>
        </w:rPr>
        <w:t>London</w:t>
      </w:r>
    </w:p>
    <w:p>
      <w:pPr>
        <w:rPr>
          <w:szCs w:val="24"/>
        </w:rPr>
      </w:pPr>
      <w:r>
        <w:rPr>
          <w:noProof/>
          <w:szCs w:val="24"/>
        </w:rPr>
        <w:t>W3 7QH</w:t>
      </w:r>
    </w:p>
    <w:p>
      <w:pPr>
        <w:rPr>
          <w:szCs w:val="24"/>
        </w:rPr>
      </w:pPr>
      <w:r>
        <w:rPr>
          <w:noProof/>
          <w:szCs w:val="24"/>
        </w:rPr>
        <w:t>Great Britain</w:t>
      </w: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电话：</w:t>
      </w:r>
      <w:r>
        <w:rPr>
          <w:szCs w:val="24"/>
        </w:rPr>
        <w:t xml:space="preserve"> + 44 (0)20 8743 8880</w:t>
      </w:r>
    </w:p>
    <w:p>
      <w:pPr>
        <w:spacing w:line="260" w:lineRule="auto"/>
        <w:rPr>
          <w:szCs w:val="24"/>
        </w:rPr>
      </w:pPr>
      <w:r>
        <w:rPr>
          <w:rFonts w:hint="eastAsia"/>
          <w:szCs w:val="24"/>
          <w:lang w:val="zh-CN"/>
        </w:rPr>
        <w:t>传真：</w:t>
      </w:r>
      <w:r>
        <w:rPr>
          <w:szCs w:val="24"/>
        </w:rPr>
        <w:t xml:space="preserve"> + 44 (0)20 8740 4200</w:t>
      </w:r>
    </w:p>
    <w:p>
      <w:pPr>
        <w:rPr>
          <w:szCs w:val="24"/>
        </w:rPr>
      </w:pPr>
      <w:hyperlink r:id="rId14" w:history="1">
        <w:r>
          <w:rPr>
            <w:rStyle w:val="Hyperlink"/>
            <w:rFonts w:cs="Calibri"/>
            <w:noProof/>
            <w:szCs w:val="24"/>
          </w:rPr>
          <w:t>sales@e2s.com</w:t>
        </w:r>
      </w:hyperlink>
      <w:r>
        <w:rPr>
          <w:noProof/>
          <w:szCs w:val="24"/>
        </w:rPr>
        <w:t xml:space="preserve"> </w:t>
      </w:r>
    </w:p>
    <w:p>
      <w:pPr>
        <w:tabs>
          <w:tab w:val="left" w:pos="851"/>
          <w:tab w:val="right" w:pos="9072"/>
        </w:tabs>
        <w:rPr>
          <w:szCs w:val="24"/>
        </w:rPr>
      </w:pPr>
      <w:hyperlink r:id="rId15" w:history="1">
        <w:r>
          <w:rPr>
            <w:rStyle w:val="Hyperlink"/>
            <w:noProof/>
            <w:szCs w:val="24"/>
          </w:rPr>
          <w:t>e2s.com</w:t>
        </w:r>
      </w:hyperlink>
    </w:p>
    <w:p/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</w:pPr>
    </w:p>
    <w:p>
      <w:pPr>
        <w:tabs>
          <w:tab w:val="left" w:pos="851"/>
          <w:tab w:val="right" w:pos="9072"/>
        </w:tabs>
        <w:rPr>
          <w:bCs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0" w:h="16820"/>
      <w:pgMar w:top="1418" w:right="1418" w:bottom="1418" w:left="1418" w:header="1418" w:footer="141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removePersonalInformation/>
  <w:removeDateAndTime/>
  <w:displayBackgroundShape/>
  <w:printPostScriptOverText/>
  <w:defaultTabStop w:val="567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snapToGrid w:val="0"/>
        <w:sz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InternetLink">
    <w:name w:val="Internet Link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kfield.co.uk/e2s/d2xb1ld3-cn.docx" TargetMode="External"/><Relationship Id="rId13" Type="http://schemas.openxmlformats.org/officeDocument/2006/relationships/hyperlink" Target="http://www.parkfield.co.u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parkfield.co.uk/e2s/d2xb1ld3-print.jpg" TargetMode="External"/><Relationship Id="rId12" Type="http://schemas.openxmlformats.org/officeDocument/2006/relationships/hyperlink" Target="mailto:nigel.may@parkfield.co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2s.com/product/1341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2s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2s.com/product/1341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arkfield.co.uk/e2s/" TargetMode="External"/><Relationship Id="rId14" Type="http://schemas.openxmlformats.org/officeDocument/2006/relationships/hyperlink" Target="mailto:sales@e2s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A8E3A-4CA3-4EC0-A6E8-E4FB2A16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2020-01-23T13:07:00Z</dcterms:created>
  <dcterms:modified xsi:type="dcterms:W3CDTF">2020-01-27T15:19:00Z</dcterms:modified>
</cp:coreProperties>
</file>