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3A" w:rsidRPr="00EE68B6" w:rsidRDefault="00116A3A" w:rsidP="004A1B80"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 w:rsidRPr="009340C7">
        <w:rPr>
          <w:rFonts w:ascii="MingLiU" w:eastAsia="MingLiU" w:hAnsi="MingLiU" w:cs="SimSun" w:hint="eastAsia"/>
          <w:b/>
          <w:bCs/>
          <w:color w:val="C00000"/>
          <w:sz w:val="50"/>
          <w:szCs w:val="50"/>
        </w:rPr>
        <w:t>新闻资料</w:t>
      </w:r>
      <w:r w:rsidRPr="00EE68B6"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tab/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A2B" w:rsidRDefault="00116A3A" w:rsidP="004A1B80">
      <w:pPr>
        <w:rPr>
          <w:rFonts w:ascii="MingLiU" w:eastAsia="MingLiU" w:hAnsi="MingLiU" w:cs="SimSun"/>
          <w:bCs/>
          <w:lang w:val="en-GB"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300dpi </w:t>
      </w:r>
      <w:r w:rsidRPr="00EE68B6">
        <w:rPr>
          <w:rFonts w:ascii="MingLiU" w:eastAsia="MingLiU" w:hAnsi="MingLiU" w:cs="SimSun" w:hint="eastAsia"/>
          <w:bCs/>
        </w:rPr>
        <w:t>打印质量图片，</w:t>
      </w:r>
    </w:p>
    <w:p w:rsidR="00116A3A" w:rsidRPr="00EE68B6" w:rsidRDefault="00116A3A" w:rsidP="004A1B80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请访问</w:t>
      </w:r>
      <w:r w:rsidRPr="00EE68B6">
        <w:rPr>
          <w:rFonts w:ascii="MingLiU" w:eastAsia="MingLiU" w:hAnsi="MingLiU" w:cs="SimSun"/>
          <w:bCs/>
        </w:rPr>
        <w:t xml:space="preserve"> </w:t>
      </w:r>
      <w:hyperlink r:id="rId7" w:history="1">
        <w:r w:rsidR="00972B72">
          <w:rPr>
            <w:rStyle w:val="Hyperlink"/>
            <w:rFonts w:ascii="MingLiU" w:eastAsia="MingLiU" w:hAnsi="MingLiU" w:cs="SimSun"/>
            <w:bCs/>
          </w:rPr>
          <w:t>parkfield.co.uk/e2s/gnex3-print.jpg</w:t>
        </w:r>
      </w:hyperlink>
    </w:p>
    <w:p w:rsidR="00A67A2B" w:rsidRDefault="00116A3A" w:rsidP="004A1B80">
      <w:pPr>
        <w:rPr>
          <w:rFonts w:ascii="MingLiU" w:eastAsia="MingLiU" w:hAnsi="MingLiU" w:cs="SimSun"/>
          <w:bCs/>
          <w:lang w:val="en-GB"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Word </w:t>
      </w:r>
      <w:r w:rsidRPr="00EE68B6">
        <w:rPr>
          <w:rFonts w:ascii="MingLiU" w:eastAsia="MingLiU" w:hAnsi="MingLiU" w:cs="SimSun" w:hint="eastAsia"/>
          <w:bCs/>
        </w:rPr>
        <w:t>格式文章，</w:t>
      </w:r>
    </w:p>
    <w:p w:rsidR="00116A3A" w:rsidRPr="00EE68B6" w:rsidRDefault="00116A3A" w:rsidP="004A1B80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请访问</w:t>
      </w:r>
      <w:r w:rsidRPr="00EE68B6">
        <w:rPr>
          <w:rFonts w:ascii="MingLiU" w:eastAsia="MingLiU" w:hAnsi="MingLiU" w:cs="SimSun"/>
          <w:bCs/>
        </w:rPr>
        <w:t xml:space="preserve"> </w:t>
      </w:r>
      <w:hyperlink r:id="rId8" w:history="1">
        <w:r w:rsidR="00972B72">
          <w:rPr>
            <w:rStyle w:val="Hyperlink"/>
            <w:rFonts w:ascii="MingLiU" w:eastAsia="MingLiU" w:hAnsi="MingLiU" w:cs="SimSun"/>
            <w:bCs/>
          </w:rPr>
          <w:t>parkfield.co.uk/e2s/gnex3-cn.docx</w:t>
        </w:r>
      </w:hyperlink>
    </w:p>
    <w:p w:rsidR="00116A3A" w:rsidRDefault="00116A3A" w:rsidP="00116A3A">
      <w:pPr>
        <w:rPr>
          <w:b/>
          <w:color w:val="000000" w:themeColor="text1"/>
          <w:lang w:val="en-GB"/>
        </w:rPr>
      </w:pPr>
      <w:r w:rsidRPr="00EE68B6">
        <w:rPr>
          <w:rFonts w:ascii="MingLiU" w:eastAsia="MingLiU" w:hAnsi="MingLiU" w:cs="SimSun" w:hint="eastAsia"/>
          <w:bCs/>
        </w:rPr>
        <w:t>要查看全部</w:t>
      </w:r>
      <w:r w:rsidRPr="00EE68B6">
        <w:rPr>
          <w:rFonts w:ascii="MingLiU" w:eastAsia="MingLiU" w:hAnsi="MingLiU" w:cs="SimSun"/>
          <w:bCs/>
          <w:lang w:val="pt-BR"/>
        </w:rPr>
        <w:t xml:space="preserve"> E2S </w:t>
      </w:r>
      <w:r w:rsidRPr="00EE68B6">
        <w:rPr>
          <w:rFonts w:ascii="MingLiU" w:eastAsia="MingLiU" w:hAnsi="MingLiU" w:cs="SimSun" w:hint="eastAsia"/>
          <w:bCs/>
        </w:rPr>
        <w:t>新闻资料</w:t>
      </w:r>
      <w:r w:rsidRPr="00EE68B6">
        <w:rPr>
          <w:rFonts w:ascii="MingLiU" w:eastAsia="MingLiU" w:hAnsi="MingLiU" w:cs="SimSun" w:hint="eastAsia"/>
          <w:bCs/>
          <w:lang w:val="pt-BR"/>
        </w:rPr>
        <w:t>，</w:t>
      </w:r>
      <w:r w:rsidRPr="00EE68B6">
        <w:rPr>
          <w:rFonts w:ascii="MingLiU" w:eastAsia="MingLiU" w:hAnsi="MingLiU" w:cs="SimSun" w:hint="eastAsia"/>
          <w:bCs/>
        </w:rPr>
        <w:t>请访问</w:t>
      </w:r>
      <w:r w:rsidRPr="00EE68B6">
        <w:rPr>
          <w:rFonts w:ascii="MingLiU" w:eastAsia="MingLiU" w:hAnsi="MingLiU" w:cs="SimSun"/>
          <w:bCs/>
          <w:lang w:val="pt-BR"/>
        </w:rPr>
        <w:t xml:space="preserve"> </w:t>
      </w:r>
      <w:hyperlink r:id="rId9" w:history="1">
        <w:r w:rsidR="00972B72">
          <w:rPr>
            <w:rStyle w:val="Hyperlink"/>
            <w:rFonts w:ascii="MingLiU" w:eastAsia="MingLiU" w:hAnsi="MingLiU" w:cs="SimSun"/>
            <w:bCs/>
            <w:lang w:val="pt-BR"/>
          </w:rPr>
          <w:t>parkfield.co.uk/e2s/</w:t>
        </w:r>
      </w:hyperlink>
      <w:r w:rsidRPr="00EE68B6">
        <w:rPr>
          <w:rFonts w:ascii="MingLiU" w:eastAsia="MingLiU" w:hAnsi="MingLiU"/>
        </w:rPr>
        <w:br/>
      </w:r>
    </w:p>
    <w:p w:rsidR="00950125" w:rsidRPr="00116A3A" w:rsidRDefault="00BB6D79" w:rsidP="00C7275C">
      <w:pPr>
        <w:tabs>
          <w:tab w:val="left" w:pos="851"/>
          <w:tab w:val="right" w:pos="9072"/>
        </w:tabs>
        <w:rPr>
          <w:b/>
          <w:color w:val="000000" w:themeColor="text1"/>
        </w:rPr>
      </w:pPr>
      <w:r w:rsidRPr="00116A3A">
        <w:rPr>
          <w:b/>
          <w:color w:val="000000" w:themeColor="text1"/>
        </w:rPr>
        <w:t>经全球认证的E2S GNEx GRP防爆信号装置和报警点系列产品</w:t>
      </w:r>
      <w:bookmarkStart w:id="0" w:name="_GoBack"/>
      <w:bookmarkEnd w:id="0"/>
    </w:p>
    <w:p w:rsidR="00BB6D79" w:rsidRPr="00116A3A" w:rsidRDefault="00116A3A" w:rsidP="00C7275C">
      <w:pPr>
        <w:tabs>
          <w:tab w:val="left" w:pos="851"/>
          <w:tab w:val="right" w:pos="9072"/>
        </w:tabs>
        <w:rPr>
          <w:b/>
          <w:color w:val="000000" w:themeColor="text1"/>
        </w:rPr>
      </w:pPr>
      <w:r w:rsidRPr="00116A3A">
        <w:rPr>
          <w:b/>
          <w:color w:val="000000" w:themeColor="text1"/>
        </w:rPr>
        <w:t>2018年7月5日</w:t>
      </w:r>
      <w:r w:rsidR="00C7275C" w:rsidRPr="00116A3A">
        <w:rPr>
          <w:b/>
          <w:color w:val="000000" w:themeColor="text1"/>
        </w:rPr>
        <w:t>发布</w:t>
      </w:r>
      <w:r w:rsidR="00C7275C" w:rsidRPr="00116A3A">
        <w:rPr>
          <w:b/>
          <w:color w:val="000000" w:themeColor="text1"/>
        </w:rPr>
        <w:br/>
      </w:r>
    </w:p>
    <w:p w:rsidR="00BB6D79" w:rsidRPr="00116A3A" w:rsidRDefault="00BB6D79" w:rsidP="00BB6D79">
      <w:pPr>
        <w:tabs>
          <w:tab w:val="left" w:pos="851"/>
          <w:tab w:val="right" w:pos="9072"/>
        </w:tabs>
        <w:rPr>
          <w:color w:val="000000" w:themeColor="text1"/>
        </w:rPr>
      </w:pPr>
      <w:r w:rsidRPr="00116A3A">
        <w:rPr>
          <w:color w:val="000000" w:themeColor="text1"/>
        </w:rPr>
        <w:t>全球领先的独立信号装置制造商E2S Warning Signals全方位提供用于危险场所的防爆警报喇叭发声器、氙气</w:t>
      </w:r>
      <w:r w:rsidR="0028729D" w:rsidRPr="00116A3A">
        <w:rPr>
          <w:rFonts w:hint="eastAsia"/>
          <w:color w:val="000000" w:themeColor="text1"/>
        </w:rPr>
        <w:t>頻閃</w:t>
      </w:r>
      <w:r w:rsidRPr="00116A3A">
        <w:rPr>
          <w:color w:val="000000" w:themeColor="text1"/>
        </w:rPr>
        <w:t>灯、LED</w:t>
      </w:r>
      <w:r w:rsidR="0028729D" w:rsidRPr="00116A3A">
        <w:rPr>
          <w:rFonts w:hint="eastAsia"/>
          <w:color w:val="000000" w:themeColor="text1"/>
        </w:rPr>
        <w:t>頻閃</w:t>
      </w:r>
      <w:r w:rsidRPr="00116A3A">
        <w:rPr>
          <w:color w:val="000000" w:themeColor="text1"/>
        </w:rPr>
        <w:t>灯、扬声器、按钮和报警点等产品。</w:t>
      </w:r>
      <w:r w:rsidRPr="00116A3A">
        <w:rPr>
          <w:rStyle w:val="Hyperlink"/>
          <w:color w:val="000000" w:themeColor="text1"/>
        </w:rPr>
        <w:t>GNEx系列产品</w:t>
      </w:r>
      <w:r w:rsidRPr="00116A3A">
        <w:rPr>
          <w:color w:val="000000" w:themeColor="text1"/>
        </w:rPr>
        <w:t>的GRP外壳和密封的防护等级达IP66，经IECEx和ATEX认证，可用于区域1、2、21和22。</w:t>
      </w:r>
    </w:p>
    <w:p w:rsidR="00A42E0A" w:rsidRPr="00116A3A" w:rsidRDefault="00A42E0A" w:rsidP="00BB6D79">
      <w:pPr>
        <w:tabs>
          <w:tab w:val="left" w:pos="851"/>
          <w:tab w:val="right" w:pos="9072"/>
        </w:tabs>
        <w:rPr>
          <w:color w:val="000000" w:themeColor="text1"/>
        </w:rPr>
      </w:pPr>
    </w:p>
    <w:p w:rsidR="00BE5611" w:rsidRPr="00116A3A" w:rsidRDefault="00C103A4" w:rsidP="00232473">
      <w:pPr>
        <w:tabs>
          <w:tab w:val="left" w:pos="851"/>
          <w:tab w:val="right" w:pos="9072"/>
        </w:tabs>
        <w:rPr>
          <w:rFonts w:cs="SimSun"/>
          <w:color w:val="000000" w:themeColor="text1"/>
        </w:rPr>
      </w:pPr>
      <w:r w:rsidRPr="00116A3A">
        <w:rPr>
          <w:color w:val="000000" w:themeColor="text1"/>
        </w:rPr>
        <w:t>GNEx系列产品的</w:t>
      </w:r>
      <w:r w:rsidR="00DF38D4" w:rsidRPr="00116A3A">
        <w:rPr>
          <w:rFonts w:hint="eastAsia"/>
          <w:color w:val="000000" w:themeColor="text1"/>
        </w:rPr>
        <w:t>頻閃燈</w:t>
      </w:r>
      <w:r w:rsidRPr="00116A3A">
        <w:rPr>
          <w:color w:val="000000" w:themeColor="text1"/>
        </w:rPr>
        <w:t>采用5、10、15或21焦耳的氙气频闪光源，具有业内领先的、超过900 cd的有效强度光输出，可用于高环境光或长距离信号发送。LED型号包含一个具有以下5种闪光率的光源：</w:t>
      </w:r>
      <w:r w:rsidRPr="00116A3A">
        <w:rPr>
          <w:rFonts w:ascii="SimSun" w:hAnsi="SimSun"/>
          <w:color w:val="000000" w:themeColor="text1"/>
        </w:rPr>
        <w:t>1、1.5和2 Hz以及双闪和三闪。用于状态指示器的高、低功耗稳态模式可由用户自行选择。GNExB2LD2</w:t>
      </w:r>
      <w:r w:rsidR="00DF38D4" w:rsidRPr="00116A3A">
        <w:rPr>
          <w:rFonts w:ascii="SimSun" w:hAnsi="SimSun" w:hint="eastAsia"/>
          <w:color w:val="000000" w:themeColor="text1"/>
        </w:rPr>
        <w:t>頻閃燈</w:t>
      </w:r>
      <w:r w:rsidRPr="00116A3A">
        <w:rPr>
          <w:rFonts w:ascii="SimSun" w:hAnsi="SimSun"/>
          <w:color w:val="000000" w:themeColor="text1"/>
        </w:rPr>
        <w:t>所采用的Cree ®LED的使用寿命超过60,000小时。直流电压版本具有三个可远程选择的阶段，允许从一台装置发送多个警告信号。</w:t>
      </w:r>
      <w:r w:rsidRPr="00116A3A">
        <w:rPr>
          <w:color w:val="000000" w:themeColor="text1"/>
        </w:rPr>
        <w:t>通过聚碳酸酯紫外线稳定棱柱透镜，所有GNEx光信号均可呈现出琥珀色、蓝色、无色、绿色、品红、红色和黄色等色彩，并可在现场进行更换。由于GRP外壳采用了印有螺纹的火焰路径、多个电缆入口和一个较大的端接区，可以最大程度缩短发声器和信标的安装时间。</w:t>
      </w:r>
    </w:p>
    <w:p w:rsidR="00341591" w:rsidRPr="00116A3A" w:rsidRDefault="00341591" w:rsidP="00232473">
      <w:pPr>
        <w:tabs>
          <w:tab w:val="left" w:pos="851"/>
          <w:tab w:val="right" w:pos="9072"/>
        </w:tabs>
        <w:rPr>
          <w:rFonts w:cs="NewsGot-Lig"/>
          <w:color w:val="000000" w:themeColor="text1"/>
        </w:rPr>
      </w:pPr>
    </w:p>
    <w:p w:rsidR="00B17923" w:rsidRPr="00116A3A" w:rsidRDefault="00B17923" w:rsidP="00232473">
      <w:pPr>
        <w:tabs>
          <w:tab w:val="left" w:pos="851"/>
          <w:tab w:val="right" w:pos="9072"/>
        </w:tabs>
        <w:rPr>
          <w:rFonts w:cs="SimSun"/>
          <w:color w:val="000000" w:themeColor="text1"/>
        </w:rPr>
      </w:pPr>
      <w:r w:rsidRPr="00116A3A">
        <w:rPr>
          <w:color w:val="000000" w:themeColor="text1"/>
        </w:rPr>
        <w:t>警报喇叭发声器的输出可高达123dB(A) @ 1m，提供了扩口或径向喇叭，具有64种不同声调，包括PFEER及主要国家的声调，并提供4个阶段，其中前2个阶段可进行独立选择。采用15和25W扬声器的型号提供了8 Ohm、16 Ohm，及70/100V线路的版本，能够在险情区域发出清晰、有力的语音信号。</w:t>
      </w:r>
    </w:p>
    <w:p w:rsidR="00B17923" w:rsidRPr="00116A3A" w:rsidRDefault="00B17923" w:rsidP="00232473">
      <w:pPr>
        <w:tabs>
          <w:tab w:val="left" w:pos="851"/>
          <w:tab w:val="right" w:pos="9072"/>
        </w:tabs>
        <w:rPr>
          <w:rFonts w:cs="NewsGot-Lig"/>
          <w:color w:val="000000" w:themeColor="text1"/>
        </w:rPr>
      </w:pPr>
    </w:p>
    <w:p w:rsidR="00807D3E" w:rsidRPr="00116A3A" w:rsidRDefault="00341591" w:rsidP="00BB6D79">
      <w:pPr>
        <w:tabs>
          <w:tab w:val="left" w:pos="851"/>
          <w:tab w:val="right" w:pos="9072"/>
        </w:tabs>
        <w:rPr>
          <w:rFonts w:eastAsiaTheme="minorHAnsi" w:cs="SimSun"/>
          <w:snapToGrid w:val="0"/>
          <w:color w:val="000000" w:themeColor="text1"/>
        </w:rPr>
      </w:pPr>
      <w:r w:rsidRPr="00116A3A">
        <w:rPr>
          <w:color w:val="000000" w:themeColor="text1"/>
        </w:rPr>
        <w:t>GNEx手动报警点可以手动激活火警、气体检测和应急关机系统，具备压碎玻璃、按钮、工具复位按钮，以及各类标准配件。具有不同值的系列和EOL电阻可按需装入所有型号中，同时也可以指定双刀双掷开关和LED指示灯。</w:t>
      </w:r>
    </w:p>
    <w:p w:rsidR="002316D1" w:rsidRPr="00116A3A" w:rsidRDefault="002316D1" w:rsidP="00BB6D79">
      <w:pPr>
        <w:tabs>
          <w:tab w:val="left" w:pos="851"/>
          <w:tab w:val="right" w:pos="9072"/>
        </w:tabs>
        <w:rPr>
          <w:rFonts w:eastAsiaTheme="minorHAnsi" w:cs="Times New Roman"/>
          <w:snapToGrid w:val="0"/>
          <w:color w:val="000000" w:themeColor="text1"/>
        </w:rPr>
      </w:pPr>
    </w:p>
    <w:p w:rsidR="002316D1" w:rsidRPr="00116A3A" w:rsidRDefault="00A42E0A" w:rsidP="00B17923">
      <w:pPr>
        <w:tabs>
          <w:tab w:val="left" w:pos="851"/>
          <w:tab w:val="right" w:pos="9072"/>
        </w:tabs>
        <w:rPr>
          <w:rFonts w:cs="SimSun"/>
          <w:color w:val="000000" w:themeColor="text1"/>
        </w:rPr>
      </w:pPr>
      <w:r w:rsidRPr="00116A3A">
        <w:rPr>
          <w:color w:val="000000" w:themeColor="text1"/>
        </w:rPr>
        <w:t>GNEx系列信号产品为陆上和近海环境提供了最全面、有效的解决方案。请访问</w:t>
      </w:r>
      <w:r w:rsidRPr="00116A3A">
        <w:rPr>
          <w:rStyle w:val="Hyperlink"/>
          <w:rFonts w:eastAsiaTheme="minorHAnsi"/>
          <w:snapToGrid w:val="0"/>
          <w:color w:val="000000" w:themeColor="text1"/>
        </w:rPr>
        <w:t>www.e2s.com</w:t>
      </w:r>
      <w:r w:rsidRPr="00116A3A">
        <w:rPr>
          <w:color w:val="000000" w:themeColor="text1"/>
        </w:rPr>
        <w:t>了解更多信息。</w:t>
      </w:r>
    </w:p>
    <w:p w:rsidR="002316D1" w:rsidRPr="00116A3A" w:rsidRDefault="002316D1" w:rsidP="002316D1">
      <w:pPr>
        <w:autoSpaceDE w:val="0"/>
        <w:autoSpaceDN w:val="0"/>
        <w:adjustRightInd w:val="0"/>
        <w:rPr>
          <w:rFonts w:cs="NewsGot-Lig"/>
          <w:color w:val="000000" w:themeColor="text1"/>
        </w:rPr>
      </w:pPr>
    </w:p>
    <w:p w:rsidR="002316D1" w:rsidRPr="00116A3A" w:rsidRDefault="00B176F3" w:rsidP="002316D1">
      <w:pPr>
        <w:autoSpaceDE w:val="0"/>
        <w:autoSpaceDN w:val="0"/>
        <w:adjustRightInd w:val="0"/>
        <w:rPr>
          <w:rFonts w:cs="SimSun"/>
          <w:color w:val="000000" w:themeColor="text1"/>
        </w:rPr>
      </w:pPr>
      <w:r w:rsidRPr="00116A3A">
        <w:rPr>
          <w:color w:val="000000" w:themeColor="text1"/>
        </w:rPr>
        <w:t>*** Ends: body copy 373 words ***</w:t>
      </w:r>
    </w:p>
    <w:p w:rsidR="002316D1" w:rsidRPr="00116A3A" w:rsidRDefault="002316D1" w:rsidP="00BB6D79">
      <w:pPr>
        <w:tabs>
          <w:tab w:val="left" w:pos="851"/>
          <w:tab w:val="right" w:pos="9072"/>
        </w:tabs>
        <w:rPr>
          <w:rFonts w:eastAsiaTheme="minorHAnsi" w:cs="Times New Roman"/>
          <w:snapToGrid w:val="0"/>
          <w:color w:val="000000" w:themeColor="text1"/>
        </w:rPr>
      </w:pPr>
    </w:p>
    <w:p w:rsidR="00116A3A" w:rsidRPr="000F2D84" w:rsidRDefault="00116A3A" w:rsidP="004A03DA">
      <w:pPr>
        <w:spacing w:line="260" w:lineRule="auto"/>
        <w:rPr>
          <w:b/>
          <w:szCs w:val="24"/>
        </w:rPr>
      </w:pPr>
      <w:r w:rsidRPr="000F2D84">
        <w:rPr>
          <w:rFonts w:hint="eastAsia"/>
          <w:b/>
          <w:szCs w:val="24"/>
        </w:rPr>
        <w:t>编者按</w:t>
      </w:r>
    </w:p>
    <w:p w:rsidR="00116A3A" w:rsidRDefault="00116A3A" w:rsidP="004A03DA">
      <w:pPr>
        <w:spacing w:line="260" w:lineRule="auto"/>
        <w:rPr>
          <w:szCs w:val="24"/>
          <w:lang w:val="en-GB"/>
        </w:rPr>
      </w:pPr>
    </w:p>
    <w:p w:rsidR="00116A3A" w:rsidRPr="000F2D84" w:rsidRDefault="00116A3A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所有后续问询，请联系以下人员：</w:t>
      </w:r>
      <w:r w:rsidRPr="000F2D84">
        <w:rPr>
          <w:szCs w:val="24"/>
        </w:rPr>
        <w:tab/>
      </w:r>
    </w:p>
    <w:p w:rsidR="00116A3A" w:rsidRDefault="00116A3A" w:rsidP="004A03DA">
      <w:pPr>
        <w:rPr>
          <w:noProof/>
          <w:szCs w:val="24"/>
          <w:lang w:val="en-GB"/>
        </w:rPr>
      </w:pP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Nigel May</w:t>
      </w:r>
      <w:r w:rsidRPr="000F2D84">
        <w:rPr>
          <w:szCs w:val="24"/>
        </w:rPr>
        <w:tab/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Parkfield Communications Limited</w:t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Parkfield House</w:t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Damerham</w:t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SP6 3HQ</w:t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116A3A" w:rsidRPr="000F2D84" w:rsidRDefault="00116A3A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lastRenderedPageBreak/>
        <w:t>电话：</w:t>
      </w:r>
      <w:r w:rsidRPr="000F2D84">
        <w:rPr>
          <w:szCs w:val="24"/>
        </w:rPr>
        <w:t xml:space="preserve"> + 44 (0)1725 518321</w:t>
      </w:r>
    </w:p>
    <w:p w:rsidR="00116A3A" w:rsidRPr="004A03DA" w:rsidRDefault="00116A3A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传真：</w:t>
      </w:r>
      <w:r w:rsidRPr="004A03DA">
        <w:rPr>
          <w:szCs w:val="24"/>
        </w:rPr>
        <w:t xml:space="preserve"> + 44 (0)1725 518378</w:t>
      </w:r>
    </w:p>
    <w:p w:rsidR="00116A3A" w:rsidRPr="004A03DA" w:rsidRDefault="00116A3A" w:rsidP="004A03DA">
      <w:pPr>
        <w:rPr>
          <w:szCs w:val="24"/>
        </w:rPr>
      </w:pPr>
      <w:hyperlink r:id="rId10" w:history="1">
        <w:r w:rsidRPr="00F361C9"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 w:rsidR="00116A3A" w:rsidRPr="000F2D84" w:rsidRDefault="00116A3A" w:rsidP="004A03DA">
      <w:pPr>
        <w:rPr>
          <w:szCs w:val="24"/>
        </w:rPr>
      </w:pPr>
      <w:hyperlink r:id="rId11" w:history="1">
        <w:r w:rsidRPr="00F361C9"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 w:rsidR="00116A3A" w:rsidRPr="000F2D84" w:rsidRDefault="00116A3A" w:rsidP="004A03DA"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</w:rPr>
        <w:t>是世界领先的</w:t>
      </w:r>
      <w:r w:rsidRPr="000F2D84">
        <w:rPr>
          <w:rFonts w:hint="eastAsia"/>
          <w:szCs w:val="24"/>
        </w:rPr>
        <w:t>独立信号产品制造商，设计并制造全套工业环境、海洋环境以及危险区域环境用信号产品。公司总部位于英格兰西伦敦。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</w:rPr>
        <w:t>产品通过销售网络行销全球。经销商详情见公司网站。另外</w:t>
      </w:r>
      <w:r w:rsidRPr="000F2D84"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</w:rPr>
        <w:t>在得克萨斯州休斯敦设有专门的经销中心</w:t>
      </w:r>
      <w:r w:rsidRPr="000F2D84">
        <w:rPr>
          <w:rFonts w:hint="eastAsia"/>
          <w:szCs w:val="24"/>
          <w:lang w:val="en-US"/>
        </w:rPr>
        <w:t>，</w:t>
      </w:r>
      <w:r w:rsidRPr="000F2D84">
        <w:rPr>
          <w:rFonts w:hint="eastAsia"/>
          <w:szCs w:val="24"/>
        </w:rPr>
        <w:t>负责当地产品经销和技术支持。</w:t>
      </w:r>
    </w:p>
    <w:p w:rsidR="00116A3A" w:rsidRPr="00116A3A" w:rsidRDefault="00116A3A" w:rsidP="004A03DA">
      <w:pPr>
        <w:rPr>
          <w:szCs w:val="24"/>
          <w:lang w:val="en-GB"/>
        </w:rPr>
      </w:pPr>
      <w:r w:rsidRPr="00116A3A">
        <w:rPr>
          <w:noProof/>
          <w:szCs w:val="24"/>
          <w:lang w:val="en-GB"/>
        </w:rPr>
        <w:t>E2S Warning Signals</w:t>
      </w:r>
    </w:p>
    <w:p w:rsidR="00116A3A" w:rsidRPr="00116A3A" w:rsidRDefault="00116A3A" w:rsidP="004A03DA">
      <w:pPr>
        <w:rPr>
          <w:szCs w:val="24"/>
          <w:lang w:val="en-GB"/>
        </w:rPr>
      </w:pPr>
      <w:r w:rsidRPr="00116A3A">
        <w:rPr>
          <w:noProof/>
          <w:szCs w:val="24"/>
          <w:lang w:val="en-GB"/>
        </w:rPr>
        <w:t>Impress House</w:t>
      </w:r>
    </w:p>
    <w:p w:rsidR="00116A3A" w:rsidRPr="00116A3A" w:rsidRDefault="00116A3A" w:rsidP="004A03DA">
      <w:pPr>
        <w:rPr>
          <w:szCs w:val="24"/>
          <w:lang w:val="en-GB"/>
        </w:rPr>
      </w:pPr>
      <w:r w:rsidRPr="00116A3A">
        <w:rPr>
          <w:noProof/>
          <w:szCs w:val="24"/>
          <w:lang w:val="en-GB"/>
        </w:rPr>
        <w:t>Mansell Road</w:t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London</w:t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W3 7QH</w:t>
      </w:r>
    </w:p>
    <w:p w:rsidR="00116A3A" w:rsidRPr="000F2D84" w:rsidRDefault="00116A3A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116A3A" w:rsidRPr="000F2D84" w:rsidRDefault="00116A3A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电话：</w:t>
      </w:r>
      <w:r w:rsidRPr="000F2D84">
        <w:rPr>
          <w:szCs w:val="24"/>
        </w:rPr>
        <w:t xml:space="preserve"> + 44 (0)20 8743 8880</w:t>
      </w:r>
    </w:p>
    <w:p w:rsidR="00116A3A" w:rsidRPr="000F2D84" w:rsidRDefault="00116A3A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传真：</w:t>
      </w:r>
      <w:r w:rsidRPr="000F2D84">
        <w:rPr>
          <w:szCs w:val="24"/>
        </w:rPr>
        <w:t xml:space="preserve"> + 44 (0)20 8740 4200</w:t>
      </w:r>
    </w:p>
    <w:p w:rsidR="00116A3A" w:rsidRPr="000F2D84" w:rsidRDefault="00116A3A" w:rsidP="004A03DA">
      <w:pPr>
        <w:rPr>
          <w:szCs w:val="24"/>
        </w:rPr>
      </w:pPr>
      <w:hyperlink r:id="rId12" w:history="1">
        <w:r w:rsidRPr="00F361C9"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 w:rsidR="00116A3A" w:rsidRPr="000F2D84" w:rsidRDefault="00116A3A" w:rsidP="004A03DA">
      <w:pPr>
        <w:tabs>
          <w:tab w:val="left" w:pos="851"/>
          <w:tab w:val="right" w:pos="9072"/>
        </w:tabs>
        <w:rPr>
          <w:szCs w:val="24"/>
        </w:rPr>
      </w:pPr>
      <w:hyperlink r:id="rId13" w:history="1">
        <w:r w:rsidRPr="000F2D84">
          <w:rPr>
            <w:rStyle w:val="Hyperlink"/>
            <w:noProof/>
            <w:szCs w:val="24"/>
          </w:rPr>
          <w:t>e2s.com</w:t>
        </w:r>
      </w:hyperlink>
    </w:p>
    <w:p w:rsidR="00116A3A" w:rsidRPr="004A03DA" w:rsidRDefault="00116A3A" w:rsidP="004A03DA"/>
    <w:p w:rsidR="002316D1" w:rsidRPr="00116A3A" w:rsidRDefault="002316D1" w:rsidP="00BB6D79">
      <w:pPr>
        <w:tabs>
          <w:tab w:val="left" w:pos="851"/>
          <w:tab w:val="right" w:pos="9072"/>
        </w:tabs>
        <w:rPr>
          <w:rFonts w:eastAsiaTheme="minorHAnsi" w:cs="Times New Roman"/>
          <w:snapToGrid w:val="0"/>
          <w:color w:val="000000" w:themeColor="text1"/>
        </w:rPr>
      </w:pPr>
    </w:p>
    <w:sectPr w:rsidR="002316D1" w:rsidRPr="00116A3A" w:rsidSect="002303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88" w:rsidRDefault="00615788" w:rsidP="004F724F">
      <w:r>
        <w:separator/>
      </w:r>
    </w:p>
  </w:endnote>
  <w:endnote w:type="continuationSeparator" w:id="0">
    <w:p w:rsidR="00615788" w:rsidRDefault="00615788" w:rsidP="004F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sGot-Li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88" w:rsidRDefault="00615788" w:rsidP="004F724F">
      <w:r>
        <w:separator/>
      </w:r>
    </w:p>
  </w:footnote>
  <w:footnote w:type="continuationSeparator" w:id="0">
    <w:p w:rsidR="00615788" w:rsidRDefault="00615788" w:rsidP="004F7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D79"/>
    <w:rsid w:val="00020CAC"/>
    <w:rsid w:val="000B1969"/>
    <w:rsid w:val="000B2325"/>
    <w:rsid w:val="000F7856"/>
    <w:rsid w:val="00116A3A"/>
    <w:rsid w:val="00141E72"/>
    <w:rsid w:val="00147C92"/>
    <w:rsid w:val="001F106F"/>
    <w:rsid w:val="00230369"/>
    <w:rsid w:val="002316D1"/>
    <w:rsid w:val="00232473"/>
    <w:rsid w:val="0023530B"/>
    <w:rsid w:val="00277F97"/>
    <w:rsid w:val="0028729D"/>
    <w:rsid w:val="003117D9"/>
    <w:rsid w:val="00341591"/>
    <w:rsid w:val="00372AA0"/>
    <w:rsid w:val="003B78C8"/>
    <w:rsid w:val="003F56CA"/>
    <w:rsid w:val="00403926"/>
    <w:rsid w:val="00431BB0"/>
    <w:rsid w:val="00484FE9"/>
    <w:rsid w:val="004F724F"/>
    <w:rsid w:val="005306A1"/>
    <w:rsid w:val="005B335D"/>
    <w:rsid w:val="005C73C1"/>
    <w:rsid w:val="00615788"/>
    <w:rsid w:val="00625784"/>
    <w:rsid w:val="006D0202"/>
    <w:rsid w:val="006F4596"/>
    <w:rsid w:val="007D5414"/>
    <w:rsid w:val="00807D3E"/>
    <w:rsid w:val="0081173D"/>
    <w:rsid w:val="008917B5"/>
    <w:rsid w:val="008E34D4"/>
    <w:rsid w:val="008E4A2A"/>
    <w:rsid w:val="00950125"/>
    <w:rsid w:val="00972B72"/>
    <w:rsid w:val="009B097F"/>
    <w:rsid w:val="00A14A62"/>
    <w:rsid w:val="00A42E0A"/>
    <w:rsid w:val="00A67A2B"/>
    <w:rsid w:val="00B176F3"/>
    <w:rsid w:val="00B17923"/>
    <w:rsid w:val="00B70067"/>
    <w:rsid w:val="00BB1145"/>
    <w:rsid w:val="00BB6D79"/>
    <w:rsid w:val="00BE5611"/>
    <w:rsid w:val="00C103A4"/>
    <w:rsid w:val="00C16736"/>
    <w:rsid w:val="00C7275C"/>
    <w:rsid w:val="00D57A62"/>
    <w:rsid w:val="00DF38D4"/>
    <w:rsid w:val="00E17035"/>
    <w:rsid w:val="00FB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2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24F"/>
  </w:style>
  <w:style w:type="paragraph" w:styleId="Footer">
    <w:name w:val="footer"/>
    <w:basedOn w:val="Normal"/>
    <w:link w:val="FooterChar"/>
    <w:uiPriority w:val="99"/>
    <w:unhideWhenUsed/>
    <w:rsid w:val="004F72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gnex3-cn.docx" TargetMode="External"/><Relationship Id="rId13" Type="http://schemas.openxmlformats.org/officeDocument/2006/relationships/hyperlink" Target="http://www.e2s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arkfield.co.uk/e2s/gnex3-print.jpg" TargetMode="External"/><Relationship Id="rId12" Type="http://schemas.openxmlformats.org/officeDocument/2006/relationships/hyperlink" Target="mailto:sales@e2s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arkfield.co.uk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nigel.may@parkfield.co.uk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2018-07-05T08:40:00Z</dcterms:created>
  <dcterms:modified xsi:type="dcterms:W3CDTF">2018-07-05T08:41:00Z</dcterms:modified>
</cp:coreProperties>
</file>