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Title"/>
        <w:pBdr>
          <w:top w:val="nil"/>
          <w:left w:val="nil"/>
          <w:bottom w:val="nil"/>
          <w:right w:val="nil"/>
        </w:pBdr>
        <w:jc w:val="left"/>
      </w:pPr>
      <w:r>
        <w:rPr>
          <w:rFonts w:asciiTheme="minorHAnsi" w:hAnsiTheme="minorHAnsi" w:cs="Arial"/>
          <w:b w:val="0"/>
          <w:color w:val="C00000"/>
          <w:sz w:val="52"/>
          <w:szCs w:val="52"/>
        </w:rPr>
        <w:t>Presseinformation</w:t>
      </w:r>
    </w:p>
    <w:p>
      <w:pPr>
        <w:tabs>
          <w:tab w:val="left" w:pos="851"/>
          <w:tab w:val="right" w:pos="9072"/>
        </w:tabs>
        <w:rPr>
          <w:rFonts w:eastAsia="Calibri" w:cs="Calibri"/>
          <w:b/>
          <w:bCs/>
        </w:rPr>
      </w:pPr>
      <w:r>
        <w:rPr>
          <w:rFonts w:eastAsia="Calibri" w:cs="Calibri"/>
          <w:b/>
          <w:bCs/>
        </w:rPr>
        <w:t>Veröffentlicht am 14. Juni 2022</w:t>
      </w:r>
    </w:p>
    <w:p>
      <w:pPr>
        <w:pStyle w:val="Title"/>
        <w:pBdr>
          <w:top w:val="nil"/>
          <w:left w:val="nil"/>
          <w:bottom w:val="nil"/>
          <w:right w:val="nil"/>
        </w:pBdr>
        <w:jc w:val="left"/>
        <w:rPr>
          <w:rFonts w:asciiTheme="minorHAnsi" w:hAnsiTheme="minorHAnsi" w:cstheme="minorHAnsi"/>
          <w:b w:val="0"/>
          <w:szCs w:val="22"/>
        </w:rPr>
      </w:pPr>
    </w:p>
    <w:p>
      <w:pPr>
        <w:pStyle w:val="Title"/>
        <w:pBdr>
          <w:top w:val="nil"/>
          <w:left w:val="nil"/>
          <w:bottom w:val="nil"/>
          <w:right w:val="nil"/>
        </w:pBdr>
        <w:jc w:val="left"/>
        <w:rPr>
          <w:rFonts w:asciiTheme="minorHAnsi" w:hAnsiTheme="minorHAnsi" w:cstheme="minorHAnsi"/>
          <w:b w:val="0"/>
          <w:bCs w:val="0"/>
          <w:szCs w:val="22"/>
        </w:rPr>
      </w:pPr>
      <w:r>
        <w:rPr>
          <w:rFonts w:asciiTheme="minorHAnsi" w:hAnsiTheme="minorHAnsi" w:cstheme="minorHAnsi"/>
          <w:b w:val="0"/>
          <w:szCs w:val="22"/>
        </w:rPr>
        <w:t>Zum Downloaden eines Bildes in Druckqualität</w:t>
      </w:r>
      <w:r>
        <w:rPr>
          <w:rFonts w:asciiTheme="minorHAnsi" w:hAnsiTheme="minorHAnsi" w:cstheme="minorHAnsi"/>
          <w:b w:val="0"/>
          <w:bCs w:val="0"/>
          <w:szCs w:val="22"/>
        </w:rPr>
        <w:t xml:space="preserve"> 300 dpi,</w:t>
      </w:r>
    </w:p>
    <w:p>
      <w:pPr>
        <w:pStyle w:val="Title"/>
        <w:pBdr>
          <w:top w:val="nil"/>
          <w:left w:val="nil"/>
          <w:bottom w:val="nil"/>
          <w:right w:val="nil"/>
        </w:pBdr>
        <w:jc w:val="left"/>
      </w:pPr>
      <w:r>
        <w:rPr>
          <w:rFonts w:asciiTheme="minorHAnsi" w:hAnsiTheme="minorHAnsi" w:cstheme="minorHAnsi"/>
          <w:b w:val="0"/>
          <w:bCs w:val="0"/>
          <w:szCs w:val="22"/>
        </w:rPr>
        <w:t xml:space="preserve"> gehen Sie zu </w:t>
      </w:r>
      <w:hyperlink r:id="rId7" w:history="1">
        <w:r>
          <w:rPr>
            <w:rStyle w:val="Hyperlink"/>
            <w:rFonts w:asciiTheme="minorHAnsi" w:hAnsiTheme="minorHAnsi" w:cstheme="minorHAnsi"/>
            <w:b w:val="0"/>
            <w:bCs w:val="0"/>
            <w:szCs w:val="22"/>
          </w:rPr>
          <w:t>parkfield.co.uk/e2s/gnexs-stexs-beacons-print.jpg</w:t>
        </w:r>
      </w:hyperlink>
    </w:p>
    <w:p>
      <w:pPr>
        <w:pStyle w:val="PlainText"/>
        <w:rPr>
          <w:rFonts w:cstheme="minorHAnsi"/>
          <w:szCs w:val="22"/>
        </w:rPr>
      </w:pPr>
    </w:p>
    <w:p>
      <w:pPr>
        <w:pStyle w:val="PlainText"/>
      </w:pPr>
      <w:r>
        <w:rPr>
          <w:rFonts w:cstheme="minorHAnsi"/>
          <w:szCs w:val="22"/>
        </w:rPr>
        <w:t xml:space="preserve">Der Text steht Ihnen unter </w:t>
      </w:r>
      <w:hyperlink r:id="rId8" w:history="1">
        <w:r>
          <w:rPr>
            <w:rStyle w:val="Hyperlink"/>
            <w:rFonts w:cstheme="minorHAnsi"/>
            <w:szCs w:val="22"/>
          </w:rPr>
          <w:t>parkfield.co.uk/e2s/stexs-gnexs-beacons-de.docx</w:t>
        </w:r>
      </w:hyperlink>
      <w:r>
        <w:rPr>
          <w:rFonts w:cstheme="minorHAnsi"/>
          <w:szCs w:val="22"/>
        </w:rPr>
        <w:t xml:space="preserve"> als Word-Datei zum Download bereit.</w:t>
      </w:r>
    </w:p>
    <w:p>
      <w:pPr>
        <w:pStyle w:val="Title"/>
        <w:pBdr>
          <w:top w:val="nil"/>
          <w:left w:val="nil"/>
          <w:bottom w:val="nil"/>
          <w:right w:val="nil"/>
        </w:pBdr>
        <w:jc w:val="left"/>
        <w:rPr>
          <w:rStyle w:val="hps"/>
          <w:rFonts w:asciiTheme="minorHAnsi" w:hAnsiTheme="minorHAnsi" w:cstheme="minorHAnsi"/>
          <w:b w:val="0"/>
          <w:szCs w:val="22"/>
        </w:rPr>
      </w:pPr>
    </w:p>
    <w:p>
      <w:pPr>
        <w:pStyle w:val="Title"/>
        <w:pBdr>
          <w:top w:val="nil"/>
          <w:left w:val="nil"/>
          <w:bottom w:val="nil"/>
          <w:right w:val="nil"/>
        </w:pBdr>
        <w:jc w:val="left"/>
        <w:rPr>
          <w:b w:val="0"/>
          <w:bCs w:val="0"/>
        </w:rPr>
      </w:pPr>
      <w:r>
        <w:rPr>
          <w:rStyle w:val="hps"/>
          <w:rFonts w:asciiTheme="minorHAnsi" w:hAnsiTheme="minorHAnsi" w:cstheme="minorHAnsi"/>
          <w:b w:val="0"/>
          <w:bCs w:val="0"/>
          <w:szCs w:val="22"/>
        </w:rPr>
        <w:t>Alle</w:t>
      </w:r>
      <w:r>
        <w:rPr>
          <w:rStyle w:val="shorttext"/>
          <w:rFonts w:asciiTheme="minorHAnsi" w:hAnsiTheme="minorHAnsi" w:cstheme="minorHAnsi"/>
          <w:b w:val="0"/>
          <w:bCs w:val="0"/>
          <w:szCs w:val="22"/>
        </w:rPr>
        <w:t xml:space="preserve"> </w:t>
      </w:r>
      <w:r>
        <w:rPr>
          <w:rStyle w:val="hps"/>
          <w:rFonts w:asciiTheme="minorHAnsi" w:hAnsiTheme="minorHAnsi" w:cstheme="minorHAnsi"/>
          <w:b w:val="0"/>
          <w:bCs w:val="0"/>
          <w:szCs w:val="22"/>
        </w:rPr>
        <w:t>E2S</w:t>
      </w:r>
      <w:r>
        <w:rPr>
          <w:rStyle w:val="shorttext"/>
          <w:rFonts w:asciiTheme="minorHAnsi" w:hAnsiTheme="minorHAnsi" w:cstheme="minorHAnsi"/>
          <w:b w:val="0"/>
          <w:bCs w:val="0"/>
          <w:szCs w:val="22"/>
        </w:rPr>
        <w:t xml:space="preserve"> </w:t>
      </w:r>
      <w:r>
        <w:rPr>
          <w:rFonts w:asciiTheme="minorHAnsi" w:hAnsiTheme="minorHAnsi" w:cstheme="minorHAnsi"/>
          <w:b w:val="0"/>
          <w:bCs w:val="0"/>
          <w:szCs w:val="22"/>
        </w:rPr>
        <w:t xml:space="preserve">Presseinformation </w:t>
      </w:r>
      <w:r>
        <w:rPr>
          <w:rStyle w:val="hps"/>
          <w:rFonts w:asciiTheme="minorHAnsi" w:hAnsiTheme="minorHAnsi" w:cstheme="minorHAnsi"/>
          <w:b w:val="0"/>
          <w:bCs w:val="0"/>
          <w:szCs w:val="22"/>
        </w:rPr>
        <w:t>zu sehen,</w:t>
      </w:r>
      <w:r>
        <w:rPr>
          <w:rStyle w:val="shorttext"/>
          <w:rFonts w:asciiTheme="minorHAnsi" w:hAnsiTheme="minorHAnsi" w:cstheme="minorHAnsi"/>
          <w:b w:val="0"/>
          <w:bCs w:val="0"/>
          <w:szCs w:val="22"/>
        </w:rPr>
        <w:t xml:space="preserve"> </w:t>
      </w:r>
      <w:r>
        <w:rPr>
          <w:rStyle w:val="hps"/>
          <w:rFonts w:asciiTheme="minorHAnsi" w:hAnsiTheme="minorHAnsi" w:cstheme="minorHAnsi"/>
          <w:b w:val="0"/>
          <w:bCs w:val="0"/>
          <w:szCs w:val="22"/>
        </w:rPr>
        <w:t xml:space="preserve">zu gehen </w:t>
      </w:r>
      <w:hyperlink r:id="rId9" w:history="1">
        <w:r>
          <w:rPr>
            <w:rStyle w:val="Hyperlink"/>
            <w:rFonts w:asciiTheme="minorHAnsi" w:hAnsiTheme="minorHAnsi" w:cstheme="minorHAnsi"/>
            <w:b w:val="0"/>
            <w:bCs w:val="0"/>
            <w:szCs w:val="22"/>
          </w:rPr>
          <w:t>parkfield.co.uk/e2s/</w:t>
        </w:r>
      </w:hyperlink>
    </w:p>
    <w:p>
      <w:pPr>
        <w:tabs>
          <w:tab w:val="left" w:pos="851"/>
          <w:tab w:val="right" w:pos="9072"/>
        </w:tabs>
        <w:rPr>
          <w:b/>
        </w:rPr>
      </w:pPr>
    </w:p>
    <w:p>
      <w:pPr>
        <w:tabs>
          <w:tab w:val="left" w:pos="851"/>
          <w:tab w:val="right" w:pos="9072"/>
        </w:tabs>
        <w:rPr>
          <w:b/>
        </w:rPr>
      </w:pPr>
      <w:r>
        <w:rPr>
          <w:b/>
        </w:rPr>
        <w:t>Neue Modelle, Upgrades und internationale Zulassungen für die Xenon- und LED-Kennleuchten E2S GNEx und STEx</w:t>
      </w:r>
    </w:p>
    <w:p>
      <w:pPr>
        <w:tabs>
          <w:tab w:val="left" w:pos="851"/>
          <w:tab w:val="right" w:pos="9072"/>
        </w:tabs>
        <w:jc w:val="center"/>
        <w:rPr>
          <w:b/>
        </w:rPr>
      </w:pPr>
    </w:p>
    <w:p>
      <w:pPr>
        <w:tabs>
          <w:tab w:val="left" w:pos="851"/>
          <w:tab w:val="right" w:pos="9072"/>
        </w:tabs>
      </w:pPr>
      <w:r>
        <w:t xml:space="preserve">Für Anwendungen, die eine effektive Xenon-Blitzleuchte mit geringem Stromverbrauch erfordern, hat E2S die </w:t>
      </w:r>
      <w:hyperlink r:id="rId10" w:tgtFrame="_blank" w:history="1">
        <w:r>
          <w:rPr>
            <w:rStyle w:val="Hyperlink"/>
          </w:rPr>
          <w:t>GNExB2X05</w:t>
        </w:r>
      </w:hyperlink>
      <w:r>
        <w:t xml:space="preserve"> und </w:t>
      </w:r>
      <w:hyperlink r:id="rId11" w:tgtFrame="_blank" w:history="1">
        <w:r>
          <w:rPr>
            <w:rStyle w:val="Hyperlink"/>
          </w:rPr>
          <w:t>STExB2X05</w:t>
        </w:r>
      </w:hyperlink>
      <w:r>
        <w:t xml:space="preserve"> Xenon-Blitzleuchten mit 5 Joule (5 W) in seine GNEx-Familie aus korrosionsbeständigem GFK und STEx aus Edelstahl aufgenommen. Sie sind ideal für alle Brand-, Gas- und allgemeinen Signalanwendungen in explosionsgefährdeten Bereichen und erfüllen standardmäßig die SIL1-Anforderungen. Mit dem einzigartigen Schnittstellenüberwachungsmodul von E2S können sie auch die SIL2-Anforderungen erfüllen. Die verbesserte neue Elektronik für alle </w:t>
      </w:r>
      <w:hyperlink r:id="rId12" w:tgtFrame="_blank" w:history="1">
        <w:r>
          <w:rPr>
            <w:rStyle w:val="Hyperlink"/>
          </w:rPr>
          <w:t>GNExB2</w:t>
        </w:r>
      </w:hyperlink>
      <w:r>
        <w:t xml:space="preserve"> und </w:t>
      </w:r>
      <w:hyperlink r:id="rId13" w:tgtFrame="_blank" w:history="1">
        <w:r>
          <w:rPr>
            <w:rStyle w:val="Hyperlink"/>
          </w:rPr>
          <w:t>STExB2</w:t>
        </w:r>
      </w:hyperlink>
      <w:r>
        <w:t xml:space="preserve"> Xenon-Blitzleuchten verleiht den </w:t>
      </w:r>
      <w:hyperlink r:id="rId14" w:tgtFrame="_blank" w:history="1">
        <w:r>
          <w:rPr>
            <w:rStyle w:val="Hyperlink"/>
          </w:rPr>
          <w:t>GNExB2X21</w:t>
        </w:r>
      </w:hyperlink>
      <w:r>
        <w:t xml:space="preserve"> 21 Joule und </w:t>
      </w:r>
      <w:hyperlink r:id="rId15" w:tgtFrame="_blank" w:history="1">
        <w:r>
          <w:rPr>
            <w:rStyle w:val="Hyperlink"/>
          </w:rPr>
          <w:t>STExB2X21</w:t>
        </w:r>
      </w:hyperlink>
      <w:r>
        <w:t xml:space="preserve"> 21 Joule eine erhöhte und branchenführende Lichtleistung von 1.115,57 Candela. Alle Versionen sind jetzt standardmäßig mit Linsenschutzvorrichtungen aus Edelstahl A4 316 ausgestattet.</w:t>
      </w:r>
    </w:p>
    <w:p>
      <w:pPr>
        <w:tabs>
          <w:tab w:val="left" w:pos="851"/>
          <w:tab w:val="right" w:pos="9072"/>
        </w:tabs>
      </w:pPr>
    </w:p>
    <w:p>
      <w:pPr>
        <w:tabs>
          <w:tab w:val="left" w:pos="851"/>
          <w:tab w:val="right" w:pos="9072"/>
        </w:tabs>
      </w:pPr>
      <w:r>
        <w:t xml:space="preserve">Die beiden Familien haben auch weitere internationale Zulassungen erhalten. Zusätzlich zu den neuen GNExB2X05- und STExB2X05-Geräten sind die </w:t>
      </w:r>
      <w:hyperlink r:id="rId16" w:tgtFrame="_blank" w:history="1">
        <w:r>
          <w:rPr>
            <w:rStyle w:val="Hyperlink"/>
          </w:rPr>
          <w:t>GNExB2X10-10-Joule-Xenon</w:t>
        </w:r>
      </w:hyperlink>
      <w:r>
        <w:t xml:space="preserve"> , </w:t>
      </w:r>
      <w:hyperlink r:id="rId17" w:tgtFrame="_blank" w:history="1">
        <w:r>
          <w:rPr>
            <w:rStyle w:val="Hyperlink"/>
          </w:rPr>
          <w:t>GNExB2X15-15-Joule-Xenon</w:t>
        </w:r>
      </w:hyperlink>
      <w:r>
        <w:t xml:space="preserve"> , </w:t>
      </w:r>
      <w:hyperlink r:id="rId18" w:tgtFrame="_blank" w:history="1">
        <w:r>
          <w:rPr>
            <w:rStyle w:val="Hyperlink"/>
          </w:rPr>
          <w:t>STExB2X10-10-Joule-Xenon</w:t>
        </w:r>
      </w:hyperlink>
      <w:r>
        <w:t xml:space="preserve"> , </w:t>
      </w:r>
      <w:hyperlink r:id="rId19" w:tgtFrame="_blank" w:history="1">
        <w:r>
          <w:rPr>
            <w:rStyle w:val="Hyperlink"/>
          </w:rPr>
          <w:t>STExB2X15-15-Joule-Xenon-Kennleuchten</w:t>
        </w:r>
      </w:hyperlink>
      <w:r>
        <w:t xml:space="preserve"> und die </w:t>
      </w:r>
      <w:hyperlink r:id="rId20" w:tgtFrame="_blank" w:history="1">
        <w:r>
          <w:rPr>
            <w:rStyle w:val="Hyperlink"/>
          </w:rPr>
          <w:t>GNExB2LD2-</w:t>
        </w:r>
      </w:hyperlink>
      <w:r>
        <w:t xml:space="preserve"> und </w:t>
      </w:r>
      <w:hyperlink r:id="rId21" w:tgtFrame="_blank" w:history="1">
        <w:r>
          <w:rPr>
            <w:rStyle w:val="Hyperlink"/>
          </w:rPr>
          <w:t>STExB2LD2-Multifunktions-LED-Kennleuchten</w:t>
        </w:r>
      </w:hyperlink>
      <w:r>
        <w:t xml:space="preserve"> jetzt auch UL- und cUL-zugelassen für Umgebungen der Klasse I Zone 1 und Klasse I Div 2. Ausgewählte 24VDC-Versionen sind SIL2-konform. </w:t>
      </w:r>
    </w:p>
    <w:p>
      <w:pPr>
        <w:tabs>
          <w:tab w:val="left" w:pos="851"/>
          <w:tab w:val="right" w:pos="9072"/>
        </w:tabs>
      </w:pPr>
    </w:p>
    <w:p>
      <w:pPr>
        <w:tabs>
          <w:tab w:val="left" w:pos="851"/>
          <w:tab w:val="right" w:pos="9072"/>
        </w:tabs>
      </w:pPr>
      <w:r>
        <w:t>Insgesamt ist die GNEx-Baureihe nach IECEx, ATEX, Ex EAC und INMETRO für alle Anwendungen der Zone 1 zugelassen, und die STEx-Baureihe ist nach IECEx, ATEX, Ex EAC, INMETRO und DNV für Anwendungen der Zonen 1, 2, 21 und 22 zugelassen.</w:t>
      </w:r>
    </w:p>
    <w:p>
      <w:pPr>
        <w:tabs>
          <w:tab w:val="left" w:pos="851"/>
          <w:tab w:val="right" w:pos="9072"/>
        </w:tabs>
      </w:pPr>
    </w:p>
    <w:p>
      <w:pPr>
        <w:tabs>
          <w:tab w:val="left" w:pos="851"/>
          <w:tab w:val="right" w:pos="9072"/>
        </w:tabs>
      </w:pPr>
      <w:r>
        <w:t xml:space="preserve">Die GNEx- und STEx-Produktreihen umfassen Xenon- und LED-Leuchtfeuer, Alarmsirenen, PA-Lautsprecher, Ex-d-Verteilerkästen und SIL2-konforme Rufmelder und Drucktasten, die robuste Lösungen für die Auslösung von Lebenssicherheitssystemen sowie akustische und visuelle Benachrichtigungen in den rauesten Umgebungen bieten. </w:t>
      </w:r>
    </w:p>
    <w:p>
      <w:pPr>
        <w:tabs>
          <w:tab w:val="left" w:pos="851"/>
          <w:tab w:val="right" w:pos="9072"/>
        </w:tabs>
        <w:rPr>
          <w:bCs/>
        </w:rPr>
      </w:pPr>
    </w:p>
    <w:p>
      <w:pPr>
        <w:tabs>
          <w:tab w:val="left" w:pos="851"/>
          <w:tab w:val="right" w:pos="9072"/>
        </w:tabs>
      </w:pPr>
      <w:r>
        <w:t>*** Endet: Haupttext 227 Wörter ***</w:t>
      </w:r>
    </w:p>
    <w:p>
      <w:pPr>
        <w:tabs>
          <w:tab w:val="left" w:pos="851"/>
          <w:tab w:val="right" w:pos="9072"/>
        </w:tabs>
      </w:pPr>
    </w:p>
    <w:p>
      <w:pPr>
        <w:widowControl/>
        <w:rPr>
          <w:rFonts w:cs="Arial"/>
          <w:b/>
          <w:lang w:eastAsia="en-GB"/>
        </w:rPr>
      </w:pPr>
      <w:r>
        <w:rPr>
          <w:rFonts w:cs="Arial"/>
          <w:b/>
          <w:lang w:eastAsia="en-GB"/>
        </w:rPr>
        <w:br w:type="page"/>
      </w:r>
    </w:p>
    <w:p>
      <w:pPr>
        <w:rPr>
          <w:rFonts w:cs="Arial"/>
          <w:b/>
          <w:lang w:eastAsia="en-GB"/>
        </w:rPr>
      </w:pPr>
      <w:r>
        <w:rPr>
          <w:rFonts w:cs="Arial"/>
          <w:b/>
          <w:lang w:eastAsia="en-GB"/>
        </w:rPr>
        <w:lastRenderedPageBreak/>
        <w:t>Hinweise an die Redaktion:</w:t>
      </w:r>
    </w:p>
    <w:p>
      <w:pPr>
        <w:rPr>
          <w:rFonts w:cs="Arial"/>
          <w:lang w:eastAsia="en-GB"/>
        </w:rPr>
      </w:pPr>
    </w:p>
    <w:p>
      <w:pPr>
        <w:rPr>
          <w:rFonts w:cs="Arial"/>
          <w:lang w:eastAsia="en-GB"/>
        </w:rPr>
      </w:pPr>
      <w:r>
        <w:rPr>
          <w:rFonts w:cs="Arial"/>
          <w:lang w:eastAsia="en-GB"/>
        </w:rPr>
        <w:t>Im Falle weiterer Rückfragen kontaktieren Sie bitte:</w:t>
      </w:r>
    </w:p>
    <w:p>
      <w:pPr>
        <w:rPr>
          <w:rFonts w:cs="Arial"/>
          <w:lang w:eastAsia="en-GB"/>
        </w:rPr>
      </w:pPr>
    </w:p>
    <w:p>
      <w:pPr>
        <w:rPr>
          <w:rFonts w:cs="Arial"/>
          <w:lang w:eastAsia="en-GB"/>
        </w:rPr>
      </w:pPr>
      <w:r>
        <w:rPr>
          <w:rFonts w:cs="Arial"/>
          <w:lang w:eastAsia="en-GB"/>
        </w:rPr>
        <w:t>Nigel May</w:t>
      </w:r>
    </w:p>
    <w:p>
      <w:pPr>
        <w:rPr>
          <w:rFonts w:cs="Arial"/>
          <w:lang w:eastAsia="en-GB"/>
        </w:rPr>
      </w:pPr>
      <w:r>
        <w:rPr>
          <w:rFonts w:cs="Arial"/>
          <w:lang w:eastAsia="en-GB"/>
        </w:rPr>
        <w:t>Parkfield Communications Limited</w:t>
      </w:r>
    </w:p>
    <w:p>
      <w:pPr>
        <w:rPr>
          <w:rFonts w:cs="Arial"/>
          <w:lang w:eastAsia="en-GB"/>
        </w:rPr>
      </w:pPr>
      <w:r>
        <w:rPr>
          <w:rFonts w:cs="Arial"/>
          <w:lang w:eastAsia="en-GB"/>
        </w:rPr>
        <w:t>Parkfield House</w:t>
      </w:r>
    </w:p>
    <w:p>
      <w:pPr>
        <w:rPr>
          <w:rFonts w:cs="Arial"/>
          <w:lang w:eastAsia="en-GB"/>
        </w:rPr>
      </w:pPr>
      <w:r>
        <w:rPr>
          <w:rFonts w:cs="Arial"/>
          <w:lang w:eastAsia="en-GB"/>
        </w:rPr>
        <w:t>Damerham</w:t>
      </w:r>
    </w:p>
    <w:p>
      <w:pPr>
        <w:rPr>
          <w:rFonts w:cs="Arial"/>
          <w:lang w:eastAsia="en-GB"/>
        </w:rPr>
      </w:pPr>
      <w:r>
        <w:rPr>
          <w:rFonts w:cs="Arial"/>
          <w:lang w:eastAsia="en-GB"/>
        </w:rPr>
        <w:t>SP6 3HQ</w:t>
      </w:r>
    </w:p>
    <w:p>
      <w:pPr>
        <w:rPr>
          <w:rFonts w:cs="Arial"/>
          <w:lang w:eastAsia="en-GB"/>
        </w:rPr>
      </w:pPr>
      <w:r>
        <w:rPr>
          <w:rFonts w:cs="Arial"/>
          <w:lang w:eastAsia="en-GB"/>
        </w:rPr>
        <w:t>Großbritannien</w:t>
      </w:r>
    </w:p>
    <w:p>
      <w:pPr>
        <w:rPr>
          <w:rFonts w:cs="Arial"/>
          <w:lang w:eastAsia="en-GB"/>
        </w:rPr>
      </w:pPr>
      <w:r>
        <w:rPr>
          <w:rFonts w:cs="Arial"/>
          <w:lang w:eastAsia="en-GB"/>
        </w:rPr>
        <w:t>Tel: + 44 (0)1725 518321</w:t>
      </w:r>
    </w:p>
    <w:p>
      <w:pPr>
        <w:rPr>
          <w:rFonts w:cs="Arial"/>
          <w:lang w:eastAsia="en-GB"/>
        </w:rPr>
      </w:pPr>
      <w:hyperlink r:id="rId22" w:history="1">
        <w:r>
          <w:rPr>
            <w:rStyle w:val="Hyperlink"/>
            <w:rFonts w:cs="Arial"/>
            <w:lang w:eastAsia="en-GB"/>
          </w:rPr>
          <w:t>nigel.may@parkfield.co.uk</w:t>
        </w:r>
      </w:hyperlink>
      <w:r>
        <w:rPr>
          <w:rFonts w:cs="Arial"/>
          <w:lang w:eastAsia="en-GB"/>
        </w:rPr>
        <w:t xml:space="preserve"> </w:t>
      </w:r>
    </w:p>
    <w:p>
      <w:pPr>
        <w:rPr>
          <w:rFonts w:cs="Arial"/>
          <w:lang w:eastAsia="en-GB"/>
        </w:rPr>
      </w:pPr>
      <w:hyperlink r:id="rId23" w:history="1">
        <w:r>
          <w:rPr>
            <w:rStyle w:val="Hyperlink"/>
            <w:rFonts w:cs="Arial"/>
            <w:lang w:eastAsia="en-GB"/>
          </w:rPr>
          <w:t>parkfield.co.uk</w:t>
        </w:r>
      </w:hyperlink>
      <w:r>
        <w:rPr>
          <w:rFonts w:cs="Arial"/>
          <w:lang w:eastAsia="en-GB"/>
        </w:rPr>
        <w:t xml:space="preserve"> </w:t>
      </w:r>
    </w:p>
    <w:p>
      <w:pPr>
        <w:rPr>
          <w:rFonts w:cs="Arial"/>
          <w:lang w:eastAsia="en-GB"/>
        </w:rPr>
      </w:pPr>
      <w:r>
        <w:rPr>
          <w:rFonts w:cs="Arial"/>
          <w:lang w:eastAsia="en-GB"/>
        </w:rPr>
        <w:br/>
        <w:t xml:space="preserve">E2S ist der weltweit größte unabhängige Hersteller von Alarmsignalgeräten. Mit Sitz in West-London, England, konzipiert und fertigt das Unternehmen eine umfassende Auswahl an </w:t>
      </w:r>
      <w:r>
        <w:t xml:space="preserve">akustischen- und optischen Alarmsignalgeräten für Ex Gefahrenzonen, Industrieanlagen und Sirenen zur großflächigen Alarmierung. </w:t>
      </w:r>
      <w:r>
        <w:rPr>
          <w:rFonts w:cs="Arial"/>
          <w:lang w:eastAsia="en-GB"/>
        </w:rPr>
        <w:t>E2S-Produkte sind über die Vertriebsniederlassungen und ein weltweites Händlernetz erhältlich. Einzelheiten zu den Länderadressen finden sich auf der Internetseite des Unternehmens. Darüber hinaus verfügt E2S über ein eigens Vertriebszentrum in Houston, Texas, für den Vertrieb der Produkte und den technischen Support vor Ort.</w:t>
      </w:r>
    </w:p>
    <w:p>
      <w:pPr>
        <w:rPr>
          <w:rFonts w:cs="Arial"/>
          <w:lang w:eastAsia="en-GB"/>
        </w:rPr>
      </w:pPr>
    </w:p>
    <w:p>
      <w:pPr>
        <w:rPr>
          <w:rFonts w:cs="Arial"/>
          <w:lang w:eastAsia="en-GB"/>
        </w:rPr>
      </w:pPr>
      <w:r>
        <w:rPr>
          <w:rFonts w:cs="Arial"/>
          <w:lang w:eastAsia="en-GB"/>
        </w:rPr>
        <w:t xml:space="preserve">E2S </w:t>
      </w:r>
      <w:proofErr w:type="spellStart"/>
      <w:r>
        <w:rPr>
          <w:rFonts w:cs="Arial"/>
          <w:lang w:eastAsia="en-GB"/>
        </w:rPr>
        <w:t>Warning</w:t>
      </w:r>
      <w:proofErr w:type="spellEnd"/>
      <w:r>
        <w:rPr>
          <w:rFonts w:cs="Arial"/>
          <w:lang w:eastAsia="en-GB"/>
        </w:rPr>
        <w:t xml:space="preserve"> Signals</w:t>
      </w:r>
    </w:p>
    <w:p>
      <w:pPr>
        <w:rPr>
          <w:rFonts w:cs="Arial"/>
          <w:lang w:eastAsia="en-GB"/>
        </w:rPr>
      </w:pPr>
      <w:r>
        <w:rPr>
          <w:rFonts w:cs="Arial"/>
          <w:lang w:eastAsia="en-GB"/>
        </w:rPr>
        <w:t>Impress House</w:t>
      </w:r>
    </w:p>
    <w:p>
      <w:pPr>
        <w:rPr>
          <w:rFonts w:cs="Arial"/>
          <w:lang w:eastAsia="en-GB"/>
        </w:rPr>
      </w:pPr>
      <w:r>
        <w:rPr>
          <w:rFonts w:cs="Arial"/>
          <w:lang w:eastAsia="en-GB"/>
        </w:rPr>
        <w:t>Mansell Road</w:t>
      </w:r>
    </w:p>
    <w:p>
      <w:pPr>
        <w:rPr>
          <w:rFonts w:cs="Arial"/>
          <w:lang w:eastAsia="en-GB"/>
        </w:rPr>
      </w:pPr>
      <w:r>
        <w:rPr>
          <w:rFonts w:cs="Arial"/>
          <w:lang w:eastAsia="en-GB"/>
        </w:rPr>
        <w:t>London</w:t>
      </w:r>
    </w:p>
    <w:p>
      <w:pPr>
        <w:rPr>
          <w:rFonts w:cs="Arial"/>
          <w:lang w:eastAsia="en-GB"/>
        </w:rPr>
      </w:pPr>
      <w:r>
        <w:rPr>
          <w:rFonts w:cs="Arial"/>
          <w:lang w:eastAsia="en-GB"/>
        </w:rPr>
        <w:t>W3 7QH</w:t>
      </w:r>
    </w:p>
    <w:p>
      <w:pPr>
        <w:rPr>
          <w:rFonts w:cs="Arial"/>
          <w:lang w:eastAsia="en-GB"/>
        </w:rPr>
      </w:pPr>
      <w:r>
        <w:rPr>
          <w:rFonts w:cs="Arial"/>
          <w:lang w:eastAsia="en-GB"/>
        </w:rPr>
        <w:t>Großbritannien</w:t>
      </w:r>
    </w:p>
    <w:p>
      <w:pPr>
        <w:rPr>
          <w:rFonts w:cs="Arial"/>
          <w:lang w:eastAsia="en-GB"/>
        </w:rPr>
      </w:pPr>
      <w:r>
        <w:rPr>
          <w:rFonts w:cs="Arial"/>
          <w:lang w:eastAsia="en-GB"/>
        </w:rPr>
        <w:t>Tel: + 44 (0)20 8743 8880</w:t>
      </w:r>
    </w:p>
    <w:p>
      <w:pPr>
        <w:rPr>
          <w:rFonts w:cs="Arial"/>
          <w:lang w:val="pt-BR" w:eastAsia="en-GB"/>
        </w:rPr>
      </w:pPr>
      <w:r>
        <w:rPr>
          <w:rFonts w:cs="Arial"/>
          <w:lang w:val="pt-BR" w:eastAsia="en-GB"/>
        </w:rPr>
        <w:t>Fax: + 44 (0)20 8740 4200</w:t>
      </w:r>
    </w:p>
    <w:p>
      <w:pPr>
        <w:rPr>
          <w:rFonts w:cs="Arial"/>
          <w:lang w:val="pt-BR" w:eastAsia="en-GB"/>
        </w:rPr>
      </w:pPr>
      <w:hyperlink r:id="rId24" w:history="1">
        <w:r>
          <w:rPr>
            <w:rStyle w:val="Hyperlink"/>
            <w:rFonts w:cs="Arial"/>
            <w:lang w:val="pt-BR" w:eastAsia="en-GB"/>
          </w:rPr>
          <w:t>sales@e2s.com</w:t>
        </w:r>
      </w:hyperlink>
      <w:r>
        <w:rPr>
          <w:rFonts w:cs="Arial"/>
          <w:lang w:val="pt-BR" w:eastAsia="en-GB"/>
        </w:rPr>
        <w:t xml:space="preserve"> </w:t>
      </w:r>
    </w:p>
    <w:p>
      <w:pPr>
        <w:tabs>
          <w:tab w:val="left" w:pos="851"/>
          <w:tab w:val="right" w:pos="9072"/>
        </w:tabs>
        <w:rPr>
          <w:lang w:val="pt-BR"/>
        </w:rPr>
      </w:pPr>
      <w:hyperlink r:id="rId25" w:history="1">
        <w:r>
          <w:rPr>
            <w:rStyle w:val="Hyperlink"/>
            <w:rFonts w:cs="Arial"/>
            <w:lang w:val="pt-BR" w:eastAsia="en-GB"/>
          </w:rPr>
          <w:t>e2s.com</w:t>
        </w:r>
      </w:hyperlink>
    </w:p>
    <w:p>
      <w:pPr>
        <w:tabs>
          <w:tab w:val="left" w:pos="851"/>
          <w:tab w:val="right" w:pos="9072"/>
        </w:tabs>
        <w:rPr>
          <w:lang w:val="pt-BR"/>
        </w:rPr>
      </w:pPr>
    </w:p>
    <w:p>
      <w:pPr>
        <w:tabs>
          <w:tab w:val="left" w:pos="851"/>
          <w:tab w:val="right" w:pos="9072"/>
        </w:tabs>
        <w:rPr>
          <w:bCs/>
        </w:rPr>
      </w:pPr>
    </w:p>
    <w:sectPr>
      <w:type w:val="continuous"/>
      <w:pgSz w:w="11900" w:h="16820" w:code="9"/>
      <w:pgMar w:top="1418" w:right="1418" w:bottom="1418" w:left="1418" w:header="1418" w:footer="1418" w:gutter="0"/>
      <w:paperSrc w:first="1" w:other="1"/>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00B0500000000000000"/>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611CC"/>
    <w:multiLevelType w:val="multilevel"/>
    <w:tmpl w:val="BF8C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7D2D95"/>
    <w:multiLevelType w:val="multilevel"/>
    <w:tmpl w:val="BFDCD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D94484"/>
    <w:multiLevelType w:val="multilevel"/>
    <w:tmpl w:val="9CB43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498730">
    <w:abstractNumId w:val="2"/>
  </w:num>
  <w:num w:numId="2" w16cid:durableId="1167600227">
    <w:abstractNumId w:val="1"/>
  </w:num>
  <w:num w:numId="3" w16cid:durableId="1617828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intPostScriptOverText/>
  <w:proofState w:spelling="clean" w:grammar="clean"/>
  <w:revisionView w:inkAnnotations="0"/>
  <w:defaultTabStop w:val="567"/>
  <w:hyphenationZone w:val="425"/>
  <w:drawingGridHorizontalSpacing w:val="10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efaultImageDpi w14:val="330"/>
  <w15:chartTrackingRefBased/>
  <w15:docId w15:val="{F25C5D74-B110-4EC5-A99B-0AE292249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napToGrid w:val="0"/>
        <w:sz w:val="22"/>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TitleChar">
    <w:name w:val="Title Char"/>
    <w:basedOn w:val="DefaultParagraphFont"/>
    <w:link w:val="Title"/>
    <w:qFormat/>
    <w:rPr>
      <w:rFonts w:ascii="Helvetica" w:eastAsia="Times New Roman" w:hAnsi="Helvetica"/>
      <w:b/>
      <w:bCs/>
      <w:kern w:val="2"/>
      <w:szCs w:val="24"/>
    </w:rPr>
  </w:style>
  <w:style w:type="character" w:customStyle="1" w:styleId="shorttext">
    <w:name w:val="short_text"/>
    <w:basedOn w:val="DefaultParagraphFont"/>
    <w:qFormat/>
  </w:style>
  <w:style w:type="character" w:customStyle="1" w:styleId="hps">
    <w:name w:val="hps"/>
    <w:basedOn w:val="DefaultParagraphFont"/>
    <w:qFormat/>
  </w:style>
  <w:style w:type="character" w:customStyle="1" w:styleId="PlainTextChar">
    <w:name w:val="Plain Text Char"/>
    <w:basedOn w:val="DefaultParagraphFont"/>
    <w:link w:val="PlainText"/>
    <w:uiPriority w:val="99"/>
    <w:semiHidden/>
    <w:qFormat/>
    <w:rPr>
      <w:szCs w:val="21"/>
    </w:rPr>
  </w:style>
  <w:style w:type="paragraph" w:styleId="Title">
    <w:name w:val="Title"/>
    <w:basedOn w:val="Normal"/>
    <w:link w:val="TitleChar"/>
    <w:qFormat/>
    <w:pPr>
      <w:widowControl/>
      <w:pBdr>
        <w:top w:val="single" w:sz="4" w:space="1" w:color="000000"/>
        <w:left w:val="single" w:sz="4" w:space="4" w:color="000000"/>
        <w:bottom w:val="single" w:sz="4" w:space="1" w:color="000000"/>
        <w:right w:val="single" w:sz="4" w:space="4" w:color="000000"/>
      </w:pBdr>
      <w:tabs>
        <w:tab w:val="left" w:pos="851"/>
        <w:tab w:val="right" w:pos="9072"/>
      </w:tabs>
      <w:jc w:val="center"/>
    </w:pPr>
    <w:rPr>
      <w:rFonts w:ascii="Helvetica" w:eastAsia="Times New Roman" w:hAnsi="Helvetica"/>
      <w:b/>
      <w:bCs/>
      <w:kern w:val="2"/>
      <w:szCs w:val="24"/>
    </w:rPr>
  </w:style>
  <w:style w:type="character" w:customStyle="1" w:styleId="TitleChar1">
    <w:name w:val="Title Char1"/>
    <w:basedOn w:val="DefaultParagraphFont"/>
    <w:uiPriority w:val="10"/>
    <w:rPr>
      <w:rFonts w:asciiTheme="majorHAnsi" w:eastAsiaTheme="majorEastAsia" w:hAnsiTheme="majorHAnsi" w:cstheme="majorBidi"/>
      <w:spacing w:val="-10"/>
      <w:kern w:val="28"/>
      <w:sz w:val="56"/>
      <w:szCs w:val="56"/>
    </w:rPr>
  </w:style>
  <w:style w:type="paragraph" w:styleId="PlainText">
    <w:name w:val="Plain Text"/>
    <w:basedOn w:val="Normal"/>
    <w:link w:val="PlainTextChar"/>
    <w:uiPriority w:val="99"/>
    <w:semiHidden/>
    <w:unhideWhenUsed/>
    <w:qFormat/>
    <w:pPr>
      <w:widowControl/>
    </w:pPr>
    <w:rPr>
      <w:szCs w:val="21"/>
    </w:rPr>
  </w:style>
  <w:style w:type="character" w:customStyle="1" w:styleId="PlainTextChar1">
    <w:name w:val="Plain Text Char1"/>
    <w:basedOn w:val="DefaultParagraphFont"/>
    <w:uiPriority w:val="99"/>
    <w:semiHidden/>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rkfield.co.uk/e2s/stexs-gnexs-beacons-de.docx" TargetMode="External"/><Relationship Id="rId13" Type="http://schemas.openxmlformats.org/officeDocument/2006/relationships/hyperlink" Target="https://www.e2s.com/products/hazardous-area-signalling/family/rn025" TargetMode="External"/><Relationship Id="rId18" Type="http://schemas.openxmlformats.org/officeDocument/2006/relationships/hyperlink" Target="https://www.e2s.com/product/13339"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e2s.com/product/13316" TargetMode="External"/><Relationship Id="rId7" Type="http://schemas.openxmlformats.org/officeDocument/2006/relationships/hyperlink" Target="https://www.parkfield.co.uk/e2s/gnexs-stexs-beacons-print.jpg" TargetMode="External"/><Relationship Id="rId12" Type="http://schemas.openxmlformats.org/officeDocument/2006/relationships/hyperlink" Target="https://www.e2s.com/products/hazardous-area-signalling/family/rn030" TargetMode="External"/><Relationship Id="rId17" Type="http://schemas.openxmlformats.org/officeDocument/2006/relationships/hyperlink" Target="https://www.e2s.com/product/13324" TargetMode="External"/><Relationship Id="rId25" Type="http://schemas.openxmlformats.org/officeDocument/2006/relationships/hyperlink" Target="http://www.e2s.com" TargetMode="External"/><Relationship Id="rId2" Type="http://schemas.openxmlformats.org/officeDocument/2006/relationships/styles" Target="styles.xml"/><Relationship Id="rId16" Type="http://schemas.openxmlformats.org/officeDocument/2006/relationships/hyperlink" Target="https://www.e2s.com/product/13325" TargetMode="External"/><Relationship Id="rId20" Type="http://schemas.openxmlformats.org/officeDocument/2006/relationships/hyperlink" Target="https://www.e2s.com/product/1335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2s.com/product/13481-stexb2x05-xenon-strobe-beacon" TargetMode="External"/><Relationship Id="rId24" Type="http://schemas.openxmlformats.org/officeDocument/2006/relationships/hyperlink" Target="mailto:sales@e2s.com" TargetMode="External"/><Relationship Id="rId5" Type="http://schemas.openxmlformats.org/officeDocument/2006/relationships/footnotes" Target="footnotes.xml"/><Relationship Id="rId15" Type="http://schemas.openxmlformats.org/officeDocument/2006/relationships/hyperlink" Target="https://www.e2s.com/product/13350" TargetMode="External"/><Relationship Id="rId23" Type="http://schemas.openxmlformats.org/officeDocument/2006/relationships/hyperlink" Target="http://www.parkfield.co.uk" TargetMode="External"/><Relationship Id="rId10" Type="http://schemas.openxmlformats.org/officeDocument/2006/relationships/hyperlink" Target="https://www.e2s.com/product/13480-gnexb2x05-xenon-strobe-beacon" TargetMode="External"/><Relationship Id="rId19" Type="http://schemas.openxmlformats.org/officeDocument/2006/relationships/hyperlink" Target="https://www.e2s.com/product/13315" TargetMode="External"/><Relationship Id="rId4" Type="http://schemas.openxmlformats.org/officeDocument/2006/relationships/webSettings" Target="webSettings.xml"/><Relationship Id="rId9" Type="http://schemas.openxmlformats.org/officeDocument/2006/relationships/hyperlink" Target="https://www.parkfield.co.uk/e2s/" TargetMode="External"/><Relationship Id="rId14" Type="http://schemas.openxmlformats.org/officeDocument/2006/relationships/hyperlink" Target="https://www.e2s.com/product/13326" TargetMode="External"/><Relationship Id="rId22" Type="http://schemas.openxmlformats.org/officeDocument/2006/relationships/hyperlink" Target="mailto:nigel.may@parkfield.co.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689</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dc:creator>
  <cp:keywords/>
  <dc:description/>
  <cp:lastModifiedBy>Nigel</cp:lastModifiedBy>
  <cp:revision>2</cp:revision>
  <dcterms:created xsi:type="dcterms:W3CDTF">2022-06-14T13:15:00Z</dcterms:created>
  <dcterms:modified xsi:type="dcterms:W3CDTF">2022-06-14T13:15:00Z</dcterms:modified>
</cp:coreProperties>
</file>