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right" w:pos="9072"/>
        </w:tabs>
        <w:rPr>
          <w:rFonts w:cstheme="minorHAnsi"/>
          <w:bCs/>
          <w:color w:val="C00000"/>
          <w:kern w:val="2"/>
          <w:sz w:val="52"/>
          <w:szCs w:val="52"/>
        </w:rPr>
      </w:pPr>
      <w:r>
        <w:rPr>
          <w:rFonts w:cstheme="minorHAnsi"/>
          <w:bCs/>
          <w:color w:val="C00000"/>
          <w:kern w:val="2"/>
          <w:sz w:val="50"/>
          <w:szCs w:val="50"/>
        </w:rPr>
        <w:t>Información para la prensa</w:t>
      </w:r>
    </w:p>
    <w:p>
      <w:pPr>
        <w:tabs>
          <w:tab w:val="left" w:pos="851"/>
          <w:tab w:val="right" w:pos="9072"/>
        </w:tabs>
        <w:rPr>
          <w:rFonts w:cstheme="minorHAnsi"/>
          <w:b/>
          <w:bCs/>
          <w:kern w:val="2"/>
        </w:rPr>
      </w:pPr>
      <w:r>
        <w:rPr>
          <w:rFonts w:eastAsia="Calibri" w:cs="Calibri"/>
          <w:b/>
          <w:bCs/>
        </w:rPr>
        <w:t>Publicado 14 de junio de 2022</w:t>
      </w:r>
    </w:p>
    <w:p>
      <w:pPr>
        <w:tabs>
          <w:tab w:val="left" w:pos="851"/>
          <w:tab w:val="right" w:pos="9072"/>
        </w:tabs>
        <w:rPr>
          <w:rFonts w:cstheme="minorHAnsi"/>
          <w:bCs/>
          <w:kern w:val="2"/>
        </w:rPr>
      </w:pPr>
    </w:p>
    <w:p>
      <w:pPr>
        <w:tabs>
          <w:tab w:val="left" w:pos="851"/>
          <w:tab w:val="right" w:pos="9072"/>
        </w:tabs>
        <w:rPr>
          <w:rFonts w:cstheme="minorHAnsi"/>
          <w:bCs/>
          <w:kern w:val="2"/>
        </w:rPr>
      </w:pPr>
      <w:r>
        <w:rPr>
          <w:rFonts w:cstheme="minorHAnsi"/>
          <w:bCs/>
          <w:kern w:val="2"/>
        </w:rPr>
        <w:t>Para descargar imagen para impresión de calidad 300dpi,</w:t>
      </w:r>
    </w:p>
    <w:p>
      <w:pPr>
        <w:tabs>
          <w:tab w:val="left" w:pos="851"/>
          <w:tab w:val="right" w:pos="9072"/>
        </w:tabs>
      </w:pPr>
      <w:r>
        <w:rPr>
          <w:rFonts w:cstheme="minorHAnsi"/>
          <w:bCs/>
          <w:kern w:val="2"/>
        </w:rPr>
        <w:t>visite</w:t>
      </w:r>
      <w:r>
        <w:rPr>
          <w:rFonts w:cstheme="minorHAnsi"/>
          <w:b/>
          <w:bCs/>
          <w:kern w:val="2"/>
        </w:rPr>
        <w:t xml:space="preserve"> </w:t>
      </w:r>
      <w:hyperlink r:id="rId7">
        <w:r>
          <w:rPr>
            <w:rFonts w:cstheme="minorHAnsi"/>
            <w:bCs/>
            <w:color w:val="0000FF"/>
            <w:kern w:val="2"/>
            <w:u w:val="single"/>
          </w:rPr>
          <w:t>parkfield.co.uk/e2s/gnexs-stexs-beacons-print.jpg</w:t>
        </w:r>
      </w:hyperlink>
    </w:p>
    <w:p>
      <w:pPr>
        <w:rPr>
          <w:rFonts w:cstheme="minorHAnsi"/>
          <w:color w:val="000000"/>
          <w:lang w:val="es-ES_tradnl"/>
        </w:rPr>
      </w:pPr>
    </w:p>
    <w:p>
      <w:r>
        <w:rPr>
          <w:rFonts w:cstheme="minorHAnsi"/>
          <w:color w:val="000000"/>
          <w:lang w:val="es-ES_tradnl"/>
        </w:rPr>
        <w:t xml:space="preserve">Para descargar un archivo Word del texto, vaya a </w:t>
      </w:r>
      <w:hyperlink r:id="rId8" w:history="1">
        <w:r>
          <w:rPr>
            <w:rStyle w:val="Hyperlink"/>
            <w:rFonts w:cstheme="minorHAnsi"/>
            <w:bCs/>
            <w:kern w:val="2"/>
          </w:rPr>
          <w:t>parkfield.co.uk/e2s/gnexs-stexs-beacons-es.docx</w:t>
        </w:r>
      </w:hyperlink>
    </w:p>
    <w:p>
      <w:pPr>
        <w:tabs>
          <w:tab w:val="left" w:pos="0"/>
          <w:tab w:val="left" w:pos="851"/>
          <w:tab w:val="right" w:pos="9072"/>
        </w:tabs>
      </w:pPr>
      <w:r>
        <w:rPr>
          <w:rFonts w:eastAsia="Calibri" w:cstheme="minorHAnsi"/>
          <w:color w:val="000000" w:themeColor="text1"/>
          <w:lang w:eastAsia="en-GB"/>
        </w:rPr>
        <w:br/>
        <w:t>Para obtener más información visite la página:</w:t>
      </w:r>
      <w:r>
        <w:rPr>
          <w:rFonts w:eastAsia="Calibri" w:cstheme="minorHAnsi"/>
          <w:color w:val="FF0000"/>
          <w:lang w:eastAsia="en-GB"/>
        </w:rPr>
        <w:t xml:space="preserve">  </w:t>
      </w:r>
      <w:hyperlink r:id="rId9" w:history="1">
        <w:r>
          <w:rPr>
            <w:rStyle w:val="Hyperlink"/>
            <w:rFonts w:eastAsia="Calibri" w:cstheme="minorHAnsi"/>
            <w:lang w:eastAsia="en-GB"/>
          </w:rPr>
          <w:t>parkfield.co.uk/e2s/</w:t>
        </w:r>
      </w:hyperlink>
      <w:r>
        <w:rPr>
          <w:rFonts w:eastAsia="Calibri" w:cstheme="minorHAnsi"/>
          <w:color w:val="FF0000"/>
          <w:lang w:eastAsia="en-GB"/>
        </w:rPr>
        <w:t xml:space="preserve"> </w:t>
      </w:r>
      <w:r>
        <w:rPr>
          <w:rFonts w:eastAsia="Calibri" w:cstheme="minorHAnsi"/>
          <w:color w:val="FF0000"/>
          <w:lang w:eastAsia="en-GB"/>
        </w:rPr>
        <w:br/>
      </w:r>
    </w:p>
    <w:p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Nuevos modelos, actualizaciones y homologaciones internacionales para las balizas de Xenón y LED GNEx y STEx de E2S</w:t>
      </w:r>
    </w:p>
    <w:p>
      <w:pPr>
        <w:tabs>
          <w:tab w:val="left" w:pos="851"/>
          <w:tab w:val="right" w:pos="9072"/>
        </w:tabs>
        <w:jc w:val="center"/>
        <w:rPr>
          <w:b/>
        </w:rPr>
      </w:pPr>
    </w:p>
    <w:p>
      <w:pPr>
        <w:tabs>
          <w:tab w:val="left" w:pos="851"/>
          <w:tab w:val="right" w:pos="9072"/>
        </w:tabs>
      </w:pPr>
      <w:r>
        <w:t xml:space="preserve">Para aplicaciones que requieren una baliza estroboscópica de xenón efectiva con bajo consumo de corriente, E2S ha incorporado las balizas estroboscópicas de xenón </w:t>
      </w:r>
      <w:hyperlink r:id="rId10" w:tgtFrame="_blank" w:history="1">
        <w:r>
          <w:rPr>
            <w:rStyle w:val="Hyperlink"/>
          </w:rPr>
          <w:t>GNExB2X05</w:t>
        </w:r>
      </w:hyperlink>
      <w:r>
        <w:t xml:space="preserve"> y </w:t>
      </w:r>
      <w:hyperlink r:id="rId11" w:tgtFrame="_blank" w:history="1">
        <w:r>
          <w:rPr>
            <w:rStyle w:val="Hyperlink"/>
          </w:rPr>
          <w:t>STExB2X05</w:t>
        </w:r>
      </w:hyperlink>
      <w:r>
        <w:t xml:space="preserve"> de 5 Julios (5W) a sus familias GNEx de acero inoxidable STEx y GRP resistentes a la corrosión. Ideales para todas las aplicaciones de alerta de incendios, gas y en general en lugares peligrosos, cumplen con SIL1 de serie y pueden cumplir las exigencias SIL2 utilizando el módulo de monitorización de interfaz exclusivo de E2S. La nueva electrónica actualizada de todas las balizas estroboscópicas de xenón </w:t>
      </w:r>
      <w:hyperlink r:id="rId12" w:tgtFrame="_blank" w:history="1">
        <w:r>
          <w:rPr>
            <w:rStyle w:val="Hyperlink"/>
          </w:rPr>
          <w:t>GNExB2</w:t>
        </w:r>
      </w:hyperlink>
      <w:r>
        <w:t xml:space="preserve"> y </w:t>
      </w:r>
      <w:hyperlink r:id="rId13" w:tgtFrame="_blank" w:history="1">
        <w:r>
          <w:rPr>
            <w:rStyle w:val="Hyperlink"/>
          </w:rPr>
          <w:t>STExB2</w:t>
        </w:r>
      </w:hyperlink>
      <w:r>
        <w:t xml:space="preserve"> proporciona a la </w:t>
      </w:r>
      <w:hyperlink r:id="rId14" w:tgtFrame="_blank" w:history="1">
        <w:r>
          <w:rPr>
            <w:rStyle w:val="Hyperlink"/>
          </w:rPr>
          <w:t>GNExB2X21</w:t>
        </w:r>
      </w:hyperlink>
      <w:r>
        <w:t xml:space="preserve"> 21 Julios y a la </w:t>
      </w:r>
      <w:hyperlink r:id="rId15" w:tgtFrame="_blank" w:history="1">
        <w:r>
          <w:rPr>
            <w:rStyle w:val="Hyperlink"/>
          </w:rPr>
          <w:t>STExB2X21</w:t>
        </w:r>
      </w:hyperlink>
      <w:r>
        <w:t xml:space="preserve"> 21 Julios, y una potencia luminosa líder en la industria de 1115,57 Candelas. Todas las versiones incluyen ahora protectores de lente de acero inoxidable A4 316 de serie.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t xml:space="preserve">Las dos familias también han recibido homologaciones internacionales adicionales. Además de las nuevas unidades GNExB2X05 y STExB2X05, las balizas </w:t>
      </w:r>
      <w:hyperlink r:id="rId16" w:tgtFrame="_blank" w:history="1">
        <w:r>
          <w:rPr>
            <w:rStyle w:val="Hyperlink"/>
          </w:rPr>
          <w:t>GNExB2X10</w:t>
        </w:r>
      </w:hyperlink>
      <w:r>
        <w:t xml:space="preserve"> de xenón de 10 julios, </w:t>
      </w:r>
      <w:hyperlink r:id="rId17" w:tgtFrame="_blank" w:history="1">
        <w:r>
          <w:rPr>
            <w:rStyle w:val="Hyperlink"/>
          </w:rPr>
          <w:t>GNExB2X15</w:t>
        </w:r>
      </w:hyperlink>
      <w:r>
        <w:t xml:space="preserve"> de xenón de 15 julios, </w:t>
      </w:r>
      <w:hyperlink r:id="rId18" w:tgtFrame="_blank" w:history="1">
        <w:r>
          <w:rPr>
            <w:rStyle w:val="Hyperlink"/>
          </w:rPr>
          <w:t>STExB2X10</w:t>
        </w:r>
      </w:hyperlink>
      <w:r>
        <w:t xml:space="preserve"> de xenón de 10 julios, </w:t>
      </w:r>
      <w:hyperlink r:id="rId19" w:tgtFrame="_blank" w:history="1">
        <w:r>
          <w:rPr>
            <w:rStyle w:val="Hyperlink"/>
          </w:rPr>
          <w:t>STExB2X15</w:t>
        </w:r>
      </w:hyperlink>
      <w:r>
        <w:t xml:space="preserve"> de xenón de 15 julios y las balizas multifunción LED </w:t>
      </w:r>
      <w:hyperlink r:id="rId20" w:tgtFrame="_blank" w:history="1">
        <w:r>
          <w:rPr>
            <w:rStyle w:val="Hyperlink"/>
          </w:rPr>
          <w:t>GNExB2LD2</w:t>
        </w:r>
      </w:hyperlink>
      <w:r>
        <w:t xml:space="preserve"> y </w:t>
      </w:r>
      <w:hyperlink r:id="rId21" w:tgtFrame="_blank" w:history="1">
        <w:r>
          <w:rPr>
            <w:rStyle w:val="Hyperlink"/>
          </w:rPr>
          <w:t>STExB2LD2</w:t>
        </w:r>
      </w:hyperlink>
      <w:r>
        <w:t xml:space="preserve"> ahora están aprobados por UL y cUL para entornos de Clase I Zona 1 y Clase I Div 2. Algunas versiones de 24VDC cumplen con SIL2. 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t>En general, la gama GNEx está homologada según IECEx, ATEX, Ex EAC e INMETRO para todas las aplicaciones de Zona 1 y la gama STEx está homologada según IECEx, ATEX, Ex EAC, INMETRO y DNV para aplicaciones de Zona 1, 2, 21 y 22.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t xml:space="preserve">Las gamas GNEx y STEx incluyen balizas de xenón y LED, sirenas de alarma, altavoces de megafonía, cajas de conexiones Ex d y pulsadores y puntos de llamada conformes con SIL2, por lo que son soluciones robustas para la iniciación de sistemas de seguridad vital y notificaciones acústicas y visuales en los entornos más duros. </w:t>
      </w:r>
    </w:p>
    <w:p>
      <w:pPr>
        <w:tabs>
          <w:tab w:val="left" w:pos="851"/>
          <w:tab w:val="right" w:pos="9072"/>
        </w:tabs>
        <w:rPr>
          <w:bCs/>
        </w:rPr>
      </w:pPr>
    </w:p>
    <w:p>
      <w:pPr>
        <w:tabs>
          <w:tab w:val="left" w:pos="851"/>
          <w:tab w:val="right" w:pos="9072"/>
        </w:tabs>
      </w:pPr>
      <w:r>
        <w:t>*** Fin: cuerpo del texto 309 palabras ***</w:t>
      </w:r>
    </w:p>
    <w:p>
      <w:pPr>
        <w:tabs>
          <w:tab w:val="left" w:pos="851"/>
          <w:tab w:val="right" w:pos="9072"/>
        </w:tabs>
      </w:pPr>
    </w:p>
    <w:p>
      <w:pPr>
        <w:widowControl/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br w:type="page"/>
      </w:r>
    </w:p>
    <w:p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lastRenderedPageBreak/>
        <w:t>Notas a los editores.</w:t>
      </w:r>
    </w:p>
    <w:p>
      <w:pPr>
        <w:rPr>
          <w:rFonts w:cs="Arial"/>
          <w:lang w:eastAsia="en-GB"/>
        </w:rPr>
      </w:pP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t>Para cualquier cuestión de seguimiento, contacte con:</w:t>
      </w:r>
      <w:r>
        <w:rPr>
          <w:rFonts w:cs="Arial"/>
          <w:lang w:eastAsia="en-GB"/>
        </w:rPr>
        <w:tab/>
      </w:r>
    </w:p>
    <w:p>
      <w:pPr>
        <w:rPr>
          <w:rFonts w:cs="Arial"/>
          <w:lang w:eastAsia="en-GB"/>
        </w:rPr>
      </w:pP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t>Nigel May</w:t>
      </w:r>
      <w:r>
        <w:rPr>
          <w:rFonts w:cs="Arial"/>
          <w:lang w:eastAsia="en-GB"/>
        </w:rPr>
        <w:tab/>
      </w: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Parkfield </w:t>
      </w:r>
      <w:proofErr w:type="spellStart"/>
      <w:r>
        <w:rPr>
          <w:rFonts w:cs="Arial"/>
          <w:lang w:eastAsia="en-GB"/>
        </w:rPr>
        <w:t>Communications</w:t>
      </w:r>
      <w:proofErr w:type="spellEnd"/>
      <w:r>
        <w:rPr>
          <w:rFonts w:cs="Arial"/>
          <w:lang w:eastAsia="en-GB"/>
        </w:rPr>
        <w:t xml:space="preserve"> Limited</w:t>
      </w:r>
    </w:p>
    <w:p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Parkfield House</w:t>
      </w:r>
    </w:p>
    <w:p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Damerham</w:t>
      </w:r>
    </w:p>
    <w:p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SP6 3HQ</w:t>
      </w:r>
    </w:p>
    <w:p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 xml:space="preserve">Gran </w:t>
      </w:r>
      <w:proofErr w:type="spellStart"/>
      <w:r>
        <w:rPr>
          <w:rFonts w:cs="Arial"/>
          <w:lang w:val="de-DE" w:eastAsia="en-GB"/>
        </w:rPr>
        <w:t>Bretaña</w:t>
      </w:r>
      <w:proofErr w:type="spellEnd"/>
    </w:p>
    <w:p>
      <w:pPr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Tel: + 44 (0)1725 518321</w:t>
      </w:r>
    </w:p>
    <w:p>
      <w:pPr>
        <w:rPr>
          <w:rFonts w:cs="Arial"/>
          <w:lang w:eastAsia="en-GB"/>
        </w:rPr>
      </w:pPr>
      <w:hyperlink r:id="rId22" w:history="1">
        <w:r>
          <w:rPr>
            <w:rStyle w:val="Hyperlink"/>
            <w:rFonts w:cs="Arial"/>
            <w:lang w:eastAsia="en-GB"/>
          </w:rPr>
          <w:t>nigel.may@parkfield.co.uk</w:t>
        </w:r>
      </w:hyperlink>
      <w:r>
        <w:rPr>
          <w:rFonts w:cs="Arial"/>
          <w:lang w:eastAsia="en-GB"/>
        </w:rPr>
        <w:t xml:space="preserve"> </w:t>
      </w:r>
    </w:p>
    <w:p>
      <w:pPr>
        <w:rPr>
          <w:rFonts w:cs="Arial"/>
          <w:lang w:eastAsia="en-GB"/>
        </w:rPr>
      </w:pPr>
      <w:hyperlink r:id="rId23" w:history="1">
        <w:r>
          <w:rPr>
            <w:rStyle w:val="Hyperlink"/>
            <w:rFonts w:cs="Arial"/>
            <w:lang w:eastAsia="en-GB"/>
          </w:rPr>
          <w:t>parkfield.co.uk</w:t>
        </w:r>
      </w:hyperlink>
      <w:r>
        <w:rPr>
          <w:rFonts w:cs="Arial"/>
          <w:lang w:eastAsia="en-GB"/>
        </w:rPr>
        <w:t xml:space="preserve"> </w:t>
      </w:r>
    </w:p>
    <w:p>
      <w:pPr>
        <w:rPr>
          <w:rFonts w:cs="Arial"/>
          <w:lang w:eastAsia="en-GB"/>
        </w:rPr>
      </w:pPr>
      <w:r>
        <w:rPr>
          <w:rFonts w:cs="Arial"/>
          <w:lang w:eastAsia="en-GB"/>
        </w:rPr>
        <w:br/>
        <w:t>E2S es el líder mundial como fabricante independiente en el sector de la señalización. Con su sede en la zona oeste de Londres (Inglaterra), es una empresa que diseña y fabrica una exhaustiva gama de productos de señalización para entornos industriales, marinos y de zonas peligrosas. La red de distribución de E2S permite la disponibilidad a escala global de sus productos; para consultar los detalles de los distribuidores, diríjase a la página web de la compañía. Además, E2S cuenta con un centro de distribución especializado en Houston (Texas) para distribuir productos a nivel local y proporcionar asistencia técnica.</w:t>
      </w:r>
    </w:p>
    <w:p>
      <w:pPr>
        <w:rPr>
          <w:rFonts w:cs="Arial"/>
          <w:lang w:eastAsia="en-GB"/>
        </w:rPr>
      </w:pPr>
    </w:p>
    <w:p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E2S Warning Signals</w:t>
      </w:r>
    </w:p>
    <w:p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Impress House</w:t>
      </w:r>
    </w:p>
    <w:p>
      <w:pPr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Mansell Road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Londres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W3 7QH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 xml:space="preserve">Gran </w:t>
      </w:r>
      <w:proofErr w:type="spellStart"/>
      <w:r>
        <w:rPr>
          <w:rFonts w:cs="Arial"/>
          <w:lang w:val="it-IT" w:eastAsia="en-GB"/>
        </w:rPr>
        <w:t>Bretaña</w:t>
      </w:r>
      <w:proofErr w:type="spellEnd"/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Tel: + 44 (0)20 8743 8880</w:t>
      </w:r>
    </w:p>
    <w:p>
      <w:pPr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Fax: + 44 (0)20 8740 4200</w:t>
      </w:r>
    </w:p>
    <w:p>
      <w:pPr>
        <w:rPr>
          <w:rFonts w:cs="Arial"/>
          <w:lang w:val="it-IT" w:eastAsia="en-GB"/>
        </w:rPr>
      </w:pPr>
      <w:hyperlink r:id="rId24" w:history="1">
        <w:r>
          <w:rPr>
            <w:rStyle w:val="Hyperlink"/>
            <w:rFonts w:cs="Arial"/>
            <w:lang w:val="it-IT" w:eastAsia="en-GB"/>
          </w:rPr>
          <w:t>sales@e2s.com</w:t>
        </w:r>
      </w:hyperlink>
      <w:r>
        <w:rPr>
          <w:rFonts w:cs="Arial"/>
          <w:lang w:val="it-IT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lang w:val="it-IT"/>
        </w:rPr>
      </w:pPr>
      <w:hyperlink r:id="rId25" w:history="1">
        <w:r>
          <w:rPr>
            <w:rStyle w:val="Hyperlink"/>
            <w:rFonts w:cs="Arial"/>
            <w:lang w:val="it-IT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bCs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11CC"/>
    <w:multiLevelType w:val="multilevel"/>
    <w:tmpl w:val="BF8C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D2D95"/>
    <w:multiLevelType w:val="multilevel"/>
    <w:tmpl w:val="BFD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94484"/>
    <w:multiLevelType w:val="multilevel"/>
    <w:tmpl w:val="9CB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251013">
    <w:abstractNumId w:val="2"/>
  </w:num>
  <w:num w:numId="2" w16cid:durableId="1036351578">
    <w:abstractNumId w:val="1"/>
  </w:num>
  <w:num w:numId="3" w16cid:durableId="40141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PostScriptOverText/>
  <w:proofState w:spelling="clean" w:grammar="clean"/>
  <w:revisionView w:inkAnnotations="0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30"/>
  <w15:chartTrackingRefBased/>
  <w15:docId w15:val="{F25C5D74-B110-4EC5-A99B-0AE2922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sz w:val="22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gnexs-stexs-beacons-es.docx" TargetMode="External"/><Relationship Id="rId13" Type="http://schemas.openxmlformats.org/officeDocument/2006/relationships/hyperlink" Target="https://www.e2s.com/products/hazardous-area-signalling/family/rn025" TargetMode="External"/><Relationship Id="rId18" Type="http://schemas.openxmlformats.org/officeDocument/2006/relationships/hyperlink" Target="https://www.e2s.com/product/1333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2s.com/product/13316" TargetMode="External"/><Relationship Id="rId7" Type="http://schemas.openxmlformats.org/officeDocument/2006/relationships/hyperlink" Target="http://www.parkfield.co.uk/e2s/gnexs-stexs-beacons-print.jpg" TargetMode="External"/><Relationship Id="rId12" Type="http://schemas.openxmlformats.org/officeDocument/2006/relationships/hyperlink" Target="https://www.e2s.com/products/hazardous-area-signalling/family/rn030" TargetMode="External"/><Relationship Id="rId17" Type="http://schemas.openxmlformats.org/officeDocument/2006/relationships/hyperlink" Target="https://www.e2s.com/product/13324" TargetMode="External"/><Relationship Id="rId25" Type="http://schemas.openxmlformats.org/officeDocument/2006/relationships/hyperlink" Target="http://www.e2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2s.com/product/13325" TargetMode="External"/><Relationship Id="rId20" Type="http://schemas.openxmlformats.org/officeDocument/2006/relationships/hyperlink" Target="https://www.e2s.com/product/133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2s.com/product/13481-stexb2x05-xenon-strobe-beacon" TargetMode="External"/><Relationship Id="rId24" Type="http://schemas.openxmlformats.org/officeDocument/2006/relationships/hyperlink" Target="mailto:sales@e2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2s.com/product/13350" TargetMode="External"/><Relationship Id="rId23" Type="http://schemas.openxmlformats.org/officeDocument/2006/relationships/hyperlink" Target="http://www.parkfield.co.uk" TargetMode="External"/><Relationship Id="rId10" Type="http://schemas.openxmlformats.org/officeDocument/2006/relationships/hyperlink" Target="https://www.e2s.com/product/13480-gnexb2x05-xenon-strobe-beacon" TargetMode="External"/><Relationship Id="rId19" Type="http://schemas.openxmlformats.org/officeDocument/2006/relationships/hyperlink" Target="https://www.e2s.com/product/13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field.co.uk/e2s/gnexs-stexs-sounders.docx" TargetMode="External"/><Relationship Id="rId14" Type="http://schemas.openxmlformats.org/officeDocument/2006/relationships/hyperlink" Target="https://www.e2s.com/product/13326" TargetMode="External"/><Relationship Id="rId22" Type="http://schemas.openxmlformats.org/officeDocument/2006/relationships/hyperlink" Target="mailto:nigel.may@parkfield.co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2022-06-14T14:20:00Z</dcterms:created>
  <dcterms:modified xsi:type="dcterms:W3CDTF">2022-06-14T14:21:00Z</dcterms:modified>
</cp:coreProperties>
</file>