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rPr>
          <w:rFonts w:cs="Arial"/>
          <w:color w:val="C00000"/>
          <w:sz w:val="52"/>
          <w:szCs w:val="52"/>
        </w:rPr>
      </w:pPr>
      <w:r>
        <w:rPr>
          <w:rFonts w:cs="Arial"/>
          <w:color w:val="C00000"/>
          <w:sz w:val="52"/>
          <w:szCs w:val="52"/>
          <w:lang w:eastAsia="en-GB"/>
        </w:rPr>
        <w:t>Informações para a Imprensa</w:t>
      </w:r>
    </w:p>
    <w:p>
      <w:pPr>
        <w:widowControl/>
        <w:rPr>
          <w:rFonts w:asciiTheme="minorHAnsi" w:eastAsia="Times New Roman" w:hAnsiTheme="minorHAnsi" w:cstheme="minorHAnsi"/>
          <w:snapToGrid/>
          <w:szCs w:val="22"/>
        </w:rPr>
      </w:pPr>
      <w:r>
        <w:rPr>
          <w:rFonts w:eastAsia="Calibri" w:cs="Calibri"/>
          <w:szCs w:val="22"/>
        </w:rPr>
        <w:t xml:space="preserve">Publicado em </w:t>
      </w:r>
      <w:r>
        <w:rPr>
          <w:rFonts w:asciiTheme="minorHAnsi" w:hAnsiTheme="minorHAnsi"/>
          <w:snapToGrid/>
          <w:szCs w:val="22"/>
        </w:rPr>
        <w:t>06 de abril de 2021</w:t>
      </w:r>
    </w:p>
    <w:p>
      <w:pPr>
        <w:rPr>
          <w:rFonts w:eastAsia="Calibri" w:cs="Arial"/>
        </w:rPr>
      </w:pPr>
    </w:p>
    <w:p>
      <w:pPr>
        <w:rPr>
          <w:rFonts w:cs="Calibri"/>
          <w:color w:val="000000" w:themeColor="text1"/>
          <w:lang w:eastAsia="en-GB"/>
        </w:rPr>
      </w:pPr>
      <w:r>
        <w:rPr>
          <w:rFonts w:cs="Calibri"/>
          <w:color w:val="000000" w:themeColor="text1"/>
          <w:lang w:eastAsia="en-GB"/>
        </w:rPr>
        <w:t>Para baixar imagem de qualidade para impressão 300 dpi,</w:t>
      </w:r>
    </w:p>
    <w:p>
      <w:pPr>
        <w:rPr>
          <w:rFonts w:cs="Calibri"/>
          <w:color w:val="000000" w:themeColor="text1"/>
          <w:lang w:eastAsia="en-GB"/>
        </w:rPr>
      </w:pPr>
      <w:r>
        <w:rPr>
          <w:rFonts w:cs="Calibri"/>
          <w:color w:val="000000" w:themeColor="text1"/>
          <w:lang w:eastAsia="en-GB"/>
        </w:rPr>
        <w:t xml:space="preserve">vá para </w:t>
      </w:r>
      <w:hyperlink r:id="rId6" w:history="1">
        <w:r>
          <w:rPr>
            <w:rStyle w:val="Hyperlink"/>
            <w:rFonts w:cs="Calibri"/>
            <w:lang w:eastAsia="en-GB"/>
          </w:rPr>
          <w:t>parkfield.co.uk/e2s/m-series-upgrade-print.jpg</w:t>
        </w:r>
      </w:hyperlink>
      <w:r>
        <w:rPr>
          <w:rFonts w:cs="Calibri"/>
          <w:color w:val="000000" w:themeColor="text1"/>
          <w:lang w:eastAsia="en-GB"/>
        </w:rPr>
        <w:t xml:space="preserve"> </w:t>
      </w:r>
      <w:r>
        <w:rPr>
          <w:rFonts w:cs="Calibri"/>
          <w:color w:val="000000" w:themeColor="text1"/>
          <w:lang w:eastAsia="en-GB"/>
        </w:rPr>
        <w:br/>
      </w:r>
    </w:p>
    <w:p>
      <w:r>
        <w:rPr>
          <w:rFonts w:cs="Calibri"/>
          <w:color w:val="000000" w:themeColor="text1"/>
          <w:lang w:eastAsia="en-GB"/>
        </w:rPr>
        <w:t xml:space="preserve">Para baixar o texto em arquivo Word, vá para </w:t>
      </w:r>
      <w:hyperlink r:id="rId7" w:history="1">
        <w:r>
          <w:rPr>
            <w:rStyle w:val="Hyperlink"/>
            <w:rFonts w:cs="Calibri"/>
            <w:lang w:eastAsia="en-GB"/>
          </w:rPr>
          <w:t>parkfield.co.uk/e2s/m-series-upgrade-br.docx</w:t>
        </w:r>
      </w:hyperlink>
    </w:p>
    <w:p>
      <w:pPr>
        <w:rPr>
          <w:rFonts w:cs="Calibri"/>
          <w:color w:val="000000" w:themeColor="text1"/>
          <w:lang w:eastAsia="en-GB"/>
        </w:rPr>
      </w:pPr>
    </w:p>
    <w:p>
      <w:r>
        <w:rPr>
          <w:rFonts w:cs="Calibri"/>
          <w:color w:val="000000" w:themeColor="text1"/>
          <w:lang w:eastAsia="en-GB"/>
        </w:rPr>
        <w:t xml:space="preserve">Para ver todas as informações, acesse </w:t>
      </w:r>
      <w:hyperlink r:id="rId8" w:history="1">
        <w:r>
          <w:rPr>
            <w:rStyle w:val="Hyperlink"/>
          </w:rPr>
          <w:t>parkfield.co.uk/e2s/</w:t>
        </w:r>
      </w:hyperlink>
    </w:p>
    <w:p>
      <w:pPr>
        <w:widowControl/>
        <w:spacing w:line="280" w:lineRule="exact"/>
        <w:rPr>
          <w:rFonts w:asciiTheme="minorHAnsi" w:eastAsia="Times New Roman" w:hAnsiTheme="minorHAnsi" w:cstheme="minorHAnsi"/>
          <w:b/>
          <w:bCs/>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b/>
          <w:bCs/>
          <w:snapToGrid/>
          <w:szCs w:val="22"/>
        </w:rPr>
        <w:t>Dispositivos sonoros de alarme da linha M da E2S passam por atualização nos revestimentos IP66/67 do tipo 4/4X/13</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 xml:space="preserve">A E2S Warning Signals, líder global em dispositivos de notificação sonora e visual, apresentou a próxima geração de dispositivos sonoros de alarme industrial da linha M. Os novos itens </w:t>
      </w:r>
      <w:hyperlink r:id="rId9" w:history="1">
        <w:r>
          <w:rPr>
            <w:rFonts w:asciiTheme="minorHAnsi" w:hAnsiTheme="minorHAnsi"/>
            <w:snapToGrid/>
            <w:color w:val="0000FF"/>
            <w:szCs w:val="22"/>
            <w:u w:val="single"/>
          </w:rPr>
          <w:t>MA1F</w:t>
        </w:r>
      </w:hyperlink>
      <w:r>
        <w:rPr>
          <w:rFonts w:asciiTheme="minorHAnsi" w:hAnsiTheme="minorHAnsi"/>
          <w:snapToGrid/>
          <w:szCs w:val="22"/>
        </w:rPr>
        <w:t xml:space="preserve"> e </w:t>
      </w:r>
      <w:hyperlink r:id="rId10" w:history="1">
        <w:r>
          <w:rPr>
            <w:rFonts w:asciiTheme="minorHAnsi" w:hAnsiTheme="minorHAnsi"/>
            <w:snapToGrid/>
            <w:color w:val="0000FF"/>
            <w:szCs w:val="22"/>
            <w:u w:val="single"/>
          </w:rPr>
          <w:t>MA2F</w:t>
        </w:r>
      </w:hyperlink>
      <w:r>
        <w:rPr>
          <w:rFonts w:asciiTheme="minorHAnsi" w:hAnsiTheme="minorHAnsi"/>
          <w:snapToGrid/>
          <w:szCs w:val="22"/>
        </w:rPr>
        <w:t xml:space="preserve"> contam com o mesmo revestimento e montagem utilizados nas versões anteriores MA112 e MA121, mas agora dispõem de componentes eletrônicos aprimorados que contêm a mais recente tecnologia de amplificador Classe D, com corrente de pico mais baixa, faixa de tensão mais ampla, consumo de corrente reduzido, escolha e controle de tom do alarme aprimorados.</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 xml:space="preserve">O item </w:t>
      </w:r>
      <w:hyperlink r:id="rId11" w:history="1">
        <w:r>
          <w:rPr>
            <w:rFonts w:asciiTheme="minorHAnsi" w:hAnsiTheme="minorHAnsi"/>
            <w:snapToGrid/>
            <w:color w:val="0000FF"/>
            <w:szCs w:val="22"/>
            <w:u w:val="single"/>
          </w:rPr>
          <w:t>MA1F</w:t>
        </w:r>
      </w:hyperlink>
      <w:r>
        <w:rPr>
          <w:rFonts w:asciiTheme="minorHAnsi" w:hAnsiTheme="minorHAnsi"/>
          <w:snapToGrid/>
          <w:szCs w:val="22"/>
        </w:rPr>
        <w:t xml:space="preserve"> utiliza uma sirene direcional padrão; </w:t>
      </w:r>
      <w:hyperlink r:id="rId12" w:history="1">
        <w:r>
          <w:rPr>
            <w:rFonts w:asciiTheme="minorHAnsi" w:hAnsiTheme="minorHAnsi"/>
            <w:snapToGrid/>
            <w:color w:val="0000FF"/>
            <w:szCs w:val="22"/>
            <w:u w:val="single"/>
          </w:rPr>
          <w:t>MA1R</w:t>
        </w:r>
      </w:hyperlink>
      <w:r>
        <w:rPr>
          <w:rFonts w:asciiTheme="minorHAnsi" w:hAnsiTheme="minorHAnsi"/>
          <w:snapToGrid/>
          <w:szCs w:val="22"/>
        </w:rPr>
        <w:t xml:space="preserve"> apresenta a inovadora buzina omnidirecional 1R da E2S que é particularmente adequada para aplicações que requerem um dispositivo compacto. Para requisitos de saída de som mais elevados, o novo dispositivo sonoro de alarme </w:t>
      </w:r>
      <w:hyperlink r:id="rId13" w:history="1">
        <w:r>
          <w:rPr>
            <w:rFonts w:asciiTheme="minorHAnsi" w:hAnsiTheme="minorHAnsi"/>
            <w:snapToGrid/>
            <w:color w:val="0000FF"/>
            <w:szCs w:val="22"/>
            <w:u w:val="single"/>
          </w:rPr>
          <w:t>MA2H</w:t>
        </w:r>
      </w:hyperlink>
      <w:r>
        <w:rPr>
          <w:rFonts w:asciiTheme="minorHAnsi" w:hAnsiTheme="minorHAnsi"/>
          <w:snapToGrid/>
          <w:szCs w:val="22"/>
        </w:rPr>
        <w:t xml:space="preserve"> utiliza a nova sirene de sinalização de saída super alta 2H da E2S, que é projetada para maximizar o desempenho da sinalização audível na mais ampla faixa de frequência em um nível de som de até 130dB(A). Confira os detalhes completos da especificação </w:t>
      </w:r>
      <w:hyperlink r:id="rId14" w:history="1">
        <w:r>
          <w:rPr>
            <w:rFonts w:asciiTheme="minorHAnsi" w:hAnsiTheme="minorHAnsi"/>
            <w:snapToGrid/>
            <w:color w:val="0000FF"/>
            <w:szCs w:val="22"/>
            <w:u w:val="single"/>
          </w:rPr>
          <w:t>aqui</w:t>
        </w:r>
      </w:hyperlink>
      <w:r>
        <w:rPr>
          <w:rFonts w:asciiTheme="minorHAnsi" w:hAnsiTheme="minorHAnsi"/>
          <w:snapToGrid/>
          <w:szCs w:val="22"/>
        </w:rPr>
        <w:t>.</w:t>
      </w:r>
      <w:r>
        <w:rPr>
          <w:rFonts w:asciiTheme="minorHAnsi" w:hAnsi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A faixa de tensão CC do dispositivo sonoro de alarme agora foi estendida de 10 a 60 VCC, e as versões CA contam com uma fonte de alimentação universal que aceita entradas de 100 a 240 VCA. Versões com alimentação em CC mais alta estão disponíveis mediante solicitação. As versões MA1 são configuradas de fábrica para um baixo consumo de corrente de apenas 224mA a 24 VCC com uma saída de som de 117dB(A). As versões MA2 apresentam dois modos de energia selecionáveis pelo usuário que fornecem as combinações ideais de consumo de corrente e saída de som: 391mA e 126dB(A) a 888mA e 130dB(A).</w:t>
      </w:r>
      <w:r>
        <w:rPr>
          <w:rFonts w:asciiTheme="minorHAnsi" w:hAnsi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 xml:space="preserve">Um total de quatro estágios/canais de alarme selecionáveis remotamente são padrão e podem ser ativados por uma variedade de métodos. Um novo conjunto de 64 frequências de tom de alarme pode ser definido de forma independente como primeiro ou segundo estágio. Terminais de cabos duplicados e plugáveis simplificam a instalação. </w:t>
      </w:r>
      <w:r>
        <w:rPr>
          <w:rFonts w:asciiTheme="minorHAnsi" w:hAnsi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 xml:space="preserve">Unidades sonoras/visuais combinadas também se beneficiam de componentes eletrônicos com sirene de última geração - o </w:t>
      </w:r>
      <w:hyperlink r:id="rId15" w:history="1">
        <w:r>
          <w:rPr>
            <w:rFonts w:asciiTheme="minorHAnsi" w:hAnsiTheme="minorHAnsi"/>
            <w:snapToGrid/>
            <w:color w:val="0000FF"/>
            <w:szCs w:val="22"/>
            <w:u w:val="single"/>
          </w:rPr>
          <w:t>MC1X05</w:t>
        </w:r>
      </w:hyperlink>
      <w:r>
        <w:rPr>
          <w:rFonts w:asciiTheme="minorHAnsi" w:hAnsiTheme="minorHAnsi"/>
          <w:snapToGrid/>
          <w:szCs w:val="22"/>
        </w:rPr>
        <w:t xml:space="preserve"> com sinalizador estroboscópico de xênon e </w:t>
      </w:r>
      <w:hyperlink r:id="rId16" w:history="1">
        <w:r>
          <w:rPr>
            <w:rFonts w:asciiTheme="minorHAnsi" w:hAnsiTheme="minorHAnsi"/>
            <w:snapToGrid/>
            <w:color w:val="0000FF"/>
            <w:szCs w:val="22"/>
            <w:u w:val="single"/>
          </w:rPr>
          <w:t>MC1LD2</w:t>
        </w:r>
      </w:hyperlink>
      <w:r>
        <w:rPr>
          <w:rFonts w:asciiTheme="minorHAnsi" w:hAnsiTheme="minorHAnsi"/>
          <w:snapToGrid/>
          <w:szCs w:val="22"/>
        </w:rPr>
        <w:t xml:space="preserve"> com LED de alta saída. </w:t>
      </w:r>
      <w:r>
        <w:rPr>
          <w:rFonts w:asciiTheme="minorHAnsi" w:hAnsi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Todas as unidades apresentam revestimento termoplástico resistente ao fogo com suportes de montagem em aço inoxidável 316 (A4) - ideais para aplicações em ambientes adversos em que a proteção Tipo 4/4X/13/3R IP66/67 é necessária.</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hAnsiTheme="minorHAnsi"/>
          <w:snapToGrid/>
          <w:szCs w:val="22"/>
        </w:rPr>
        <w:t>*** Fim: corpo do texto com 391 palavras ***</w:t>
      </w:r>
    </w:p>
    <w:p>
      <w:pPr>
        <w:tabs>
          <w:tab w:val="left" w:pos="851"/>
          <w:tab w:val="right" w:pos="9072"/>
        </w:tabs>
        <w:spacing w:line="280" w:lineRule="exact"/>
        <w:rPr>
          <w:rFonts w:asciiTheme="minorHAnsi" w:hAnsiTheme="minorHAnsi" w:cstheme="minorHAnsi"/>
          <w:szCs w:val="22"/>
        </w:rPr>
      </w:pPr>
    </w:p>
    <w:p>
      <w:pPr>
        <w:rPr>
          <w:rFonts w:cs="Arial"/>
          <w:b/>
        </w:rPr>
      </w:pPr>
      <w:r>
        <w:rPr>
          <w:rFonts w:cs="Arial"/>
          <w:b/>
          <w:bCs/>
        </w:rPr>
        <w:t>Notas para os editores</w:t>
      </w:r>
    </w:p>
    <w:p>
      <w:pPr>
        <w:rPr>
          <w:rFonts w:cs="Arial"/>
        </w:rPr>
      </w:pPr>
    </w:p>
    <w:p>
      <w:pPr>
        <w:rPr>
          <w:rFonts w:cs="Arial"/>
        </w:rPr>
      </w:pPr>
      <w:r>
        <w:rPr>
          <w:rFonts w:cs="Arial"/>
        </w:rPr>
        <w:t>Para consultas, fale com:</w:t>
      </w:r>
      <w:r>
        <w:rPr>
          <w:rFonts w:cs="Arial"/>
        </w:rPr>
        <w:tab/>
      </w:r>
    </w:p>
    <w:p>
      <w:pPr>
        <w:rPr>
          <w:rFonts w:cs="Arial"/>
          <w:lang w:val="en-GB"/>
        </w:rPr>
      </w:pPr>
      <w:r>
        <w:rPr>
          <w:rFonts w:cs="Arial"/>
          <w:lang w:val="en-GB"/>
        </w:rPr>
        <w:t>Nigel May</w:t>
      </w:r>
      <w:r>
        <w:rPr>
          <w:rFonts w:cs="Arial"/>
          <w:lang w:val="en-GB"/>
        </w:rPr>
        <w:tab/>
      </w:r>
    </w:p>
    <w:p>
      <w:pPr>
        <w:rPr>
          <w:rFonts w:cs="Arial"/>
          <w:lang w:val="en-GB"/>
        </w:rPr>
      </w:pPr>
      <w:r>
        <w:rPr>
          <w:rFonts w:cs="Arial"/>
          <w:lang w:val="en-GB"/>
        </w:rPr>
        <w:t>Parkfield Communications Limited</w:t>
      </w:r>
    </w:p>
    <w:p>
      <w:pPr>
        <w:rPr>
          <w:rFonts w:cs="Arial"/>
          <w:lang w:val="en-GB"/>
        </w:rPr>
      </w:pPr>
      <w:r>
        <w:rPr>
          <w:rFonts w:cs="Arial"/>
          <w:lang w:val="en-GB"/>
        </w:rPr>
        <w:t>Parkfield House</w:t>
      </w:r>
    </w:p>
    <w:p>
      <w:pPr>
        <w:rPr>
          <w:rFonts w:cs="Arial"/>
        </w:rPr>
      </w:pPr>
      <w:r>
        <w:rPr>
          <w:rFonts w:cs="Arial"/>
        </w:rPr>
        <w:t>Damerham</w:t>
      </w:r>
    </w:p>
    <w:p>
      <w:pPr>
        <w:rPr>
          <w:rFonts w:cs="Arial"/>
        </w:rPr>
      </w:pPr>
      <w:r>
        <w:rPr>
          <w:rFonts w:cs="Arial"/>
        </w:rPr>
        <w:t>SP6 3HQ</w:t>
      </w:r>
    </w:p>
    <w:p>
      <w:pPr>
        <w:rPr>
          <w:rFonts w:cs="Arial"/>
        </w:rPr>
      </w:pPr>
      <w:r>
        <w:rPr>
          <w:rFonts w:cs="Arial"/>
        </w:rPr>
        <w:t>Grã-Bretanha</w:t>
      </w:r>
    </w:p>
    <w:p>
      <w:pPr>
        <w:rPr>
          <w:rFonts w:cs="Arial"/>
        </w:rPr>
      </w:pPr>
      <w:r>
        <w:rPr>
          <w:rFonts w:cs="Arial"/>
        </w:rPr>
        <w:t>Tel: + 44 (0)1725 518321</w:t>
      </w:r>
    </w:p>
    <w:p>
      <w:pPr>
        <w:rPr>
          <w:rFonts w:cs="Arial"/>
          <w:lang w:val="en-GB"/>
        </w:rPr>
      </w:pPr>
      <w:hyperlink r:id="rId17" w:history="1">
        <w:r>
          <w:rPr>
            <w:rStyle w:val="Hyperlink"/>
            <w:rFonts w:cs="Arial"/>
            <w:lang w:val="en-GB"/>
          </w:rPr>
          <w:t>nigel.may@parkfield.co.uk</w:t>
        </w:r>
      </w:hyperlink>
      <w:r>
        <w:rPr>
          <w:rFonts w:cs="Arial"/>
          <w:lang w:val="en-GB"/>
        </w:rPr>
        <w:t xml:space="preserve"> </w:t>
      </w:r>
    </w:p>
    <w:p>
      <w:pPr>
        <w:rPr>
          <w:rFonts w:cs="Arial"/>
          <w:lang w:val="en-GB"/>
        </w:rPr>
      </w:pPr>
      <w:hyperlink r:id="rId18" w:history="1">
        <w:r>
          <w:rPr>
            <w:rStyle w:val="Hyperlink"/>
            <w:rFonts w:cs="Arial"/>
            <w:lang w:val="en-GB"/>
          </w:rPr>
          <w:t>parkfield.co.uk</w:t>
        </w:r>
      </w:hyperlink>
      <w:r>
        <w:rPr>
          <w:rFonts w:cs="Arial"/>
          <w:lang w:val="en-GB"/>
        </w:rPr>
        <w:t xml:space="preserve"> </w:t>
      </w:r>
    </w:p>
    <w:p>
      <w:pPr>
        <w:rPr>
          <w:rFonts w:cs="Arial"/>
        </w:rPr>
      </w:pPr>
      <w:r>
        <w:rPr>
          <w:rFonts w:cs="Arial"/>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rPr>
          <w:rFonts w:cs="Arial"/>
        </w:rPr>
      </w:pPr>
    </w:p>
    <w:p>
      <w:pPr>
        <w:rPr>
          <w:rFonts w:eastAsia="Times New Roman" w:cstheme="minorHAnsi"/>
          <w:lang w:val="en-US"/>
        </w:rPr>
      </w:pPr>
      <w:r>
        <w:rPr>
          <w:rFonts w:eastAsia="Times New Roman" w:cstheme="minorHAnsi"/>
          <w:lang w:val="en-US"/>
        </w:rPr>
        <w:t>E2S Warning Signals</w:t>
      </w:r>
    </w:p>
    <w:p>
      <w:pPr>
        <w:rPr>
          <w:rFonts w:eastAsia="Times New Roman" w:cstheme="minorHAnsi"/>
          <w:lang w:val="en-US"/>
        </w:rPr>
      </w:pPr>
      <w:r>
        <w:rPr>
          <w:rFonts w:eastAsia="Times New Roman" w:cstheme="minorHAnsi"/>
          <w:lang w:val="en-US"/>
        </w:rPr>
        <w:t>17633 Telge Road</w:t>
      </w:r>
    </w:p>
    <w:p>
      <w:pPr>
        <w:rPr>
          <w:rFonts w:eastAsia="Times New Roman" w:cstheme="minorHAnsi"/>
          <w:lang w:val="en-US"/>
        </w:rPr>
      </w:pPr>
      <w:r>
        <w:rPr>
          <w:rFonts w:eastAsia="Times New Roman" w:cstheme="minorHAnsi"/>
          <w:lang w:val="en-US"/>
        </w:rPr>
        <w:t>Cypress, Houston</w:t>
      </w:r>
    </w:p>
    <w:p>
      <w:pPr>
        <w:rPr>
          <w:rFonts w:eastAsia="Times New Roman" w:cstheme="minorHAnsi"/>
        </w:rPr>
      </w:pPr>
      <w:r>
        <w:rPr>
          <w:rFonts w:eastAsia="Times New Roman" w:cstheme="minorHAnsi"/>
        </w:rPr>
        <w:t>TX 77086</w:t>
      </w:r>
    </w:p>
    <w:p>
      <w:pPr>
        <w:rPr>
          <w:rFonts w:eastAsia="Times New Roman" w:cstheme="minorHAnsi"/>
        </w:rPr>
      </w:pPr>
      <w:r>
        <w:rPr>
          <w:rFonts w:eastAsia="Times New Roman" w:cstheme="minorHAnsi"/>
        </w:rPr>
        <w:t>Estados Unidos da America</w:t>
      </w:r>
    </w:p>
    <w:p>
      <w:pPr>
        <w:rPr>
          <w:rFonts w:eastAsia="Times New Roman" w:cstheme="minorHAnsi"/>
        </w:rPr>
      </w:pPr>
      <w:r>
        <w:rPr>
          <w:rFonts w:eastAsia="Times New Roman" w:cstheme="minorHAnsi"/>
        </w:rPr>
        <w:t>Tel: + 1 281-377-4401</w:t>
      </w:r>
    </w:p>
    <w:p>
      <w:pPr>
        <w:rPr>
          <w:rFonts w:eastAsia="Times New Roman" w:cstheme="minorHAnsi"/>
        </w:rPr>
      </w:pPr>
      <w:r>
        <w:rPr>
          <w:rFonts w:eastAsia="Times New Roman" w:cstheme="minorHAnsi"/>
        </w:rPr>
        <w:t>Fax: + 1 281-440-4040</w:t>
      </w:r>
    </w:p>
    <w:p>
      <w:pPr>
        <w:rPr>
          <w:rFonts w:eastAsia="Times New Roman" w:cstheme="minorHAnsi"/>
        </w:rPr>
      </w:pPr>
      <w:r>
        <w:rPr>
          <w:rFonts w:eastAsia="Times New Roman" w:cstheme="minorHAnsi"/>
        </w:rPr>
        <w:t xml:space="preserve">Mail: </w:t>
      </w:r>
      <w:hyperlink r:id="rId19" w:history="1">
        <w:r>
          <w:rPr>
            <w:rFonts w:eastAsia="Times New Roman" w:cstheme="minorHAnsi"/>
            <w:color w:val="0000FF"/>
            <w:u w:val="single"/>
          </w:rPr>
          <w:t>sales@e2s.com</w:t>
        </w:r>
      </w:hyperlink>
      <w:r>
        <w:rPr>
          <w:rFonts w:eastAsia="Times New Roman" w:cstheme="minorHAnsi"/>
        </w:rPr>
        <w:t xml:space="preserve"> </w:t>
      </w:r>
    </w:p>
    <w:p>
      <w:pPr>
        <w:rPr>
          <w:rFonts w:eastAsia="Times New Roman" w:cstheme="minorHAnsi"/>
          <w:lang w:val="en-GB"/>
        </w:rPr>
      </w:pPr>
      <w:r>
        <w:rPr>
          <w:rFonts w:eastAsia="Times New Roman" w:cstheme="minorHAnsi"/>
          <w:lang w:val="en-GB"/>
        </w:rPr>
        <w:t xml:space="preserve">Web: </w:t>
      </w:r>
      <w:hyperlink r:id="rId20" w:history="1">
        <w:r>
          <w:rPr>
            <w:rFonts w:eastAsia="Times New Roman" w:cstheme="minorHAnsi"/>
            <w:color w:val="0000FF"/>
            <w:u w:val="single"/>
            <w:lang w:val="en-GB"/>
          </w:rPr>
          <w:t>www.e2s.com</w:t>
        </w:r>
      </w:hyperlink>
      <w:r>
        <w:rPr>
          <w:rFonts w:eastAsia="Times New Roman" w:cstheme="minorHAnsi"/>
          <w:lang w:val="en-GB"/>
        </w:rPr>
        <w:t xml:space="preserve"> </w:t>
      </w:r>
    </w:p>
    <w:p>
      <w:pPr>
        <w:rPr>
          <w:rFonts w:cs="Arial"/>
          <w:lang w:val="en-GB"/>
        </w:rPr>
      </w:pPr>
    </w:p>
    <w:p>
      <w:pPr>
        <w:rPr>
          <w:rFonts w:cs="Arial"/>
          <w:lang w:val="en-GB"/>
        </w:rPr>
      </w:pPr>
    </w:p>
    <w:p>
      <w:pPr>
        <w:rPr>
          <w:rFonts w:cs="Arial"/>
          <w:lang w:val="en-GB"/>
        </w:rPr>
      </w:pPr>
      <w:r>
        <w:rPr>
          <w:rFonts w:cs="Arial"/>
          <w:lang w:val="en-GB"/>
        </w:rPr>
        <w:t>E2S Warning Signals</w:t>
      </w:r>
    </w:p>
    <w:p>
      <w:pPr>
        <w:rPr>
          <w:rFonts w:cs="Arial"/>
          <w:lang w:val="en-GB"/>
        </w:rPr>
      </w:pPr>
      <w:r>
        <w:rPr>
          <w:rFonts w:cs="Arial"/>
          <w:lang w:val="en-GB"/>
        </w:rPr>
        <w:t>Impress House</w:t>
      </w:r>
    </w:p>
    <w:p>
      <w:pPr>
        <w:rPr>
          <w:rFonts w:cs="Arial"/>
          <w:lang w:val="en-GB"/>
        </w:rPr>
      </w:pPr>
      <w:r>
        <w:rPr>
          <w:rFonts w:cs="Arial"/>
          <w:lang w:val="en-GB"/>
        </w:rPr>
        <w:t>Mansell Road</w:t>
      </w:r>
    </w:p>
    <w:p>
      <w:pPr>
        <w:rPr>
          <w:rFonts w:cs="Arial"/>
          <w:lang w:val="en-GB"/>
        </w:rPr>
      </w:pPr>
      <w:r>
        <w:rPr>
          <w:rFonts w:cs="Arial"/>
          <w:lang w:val="en-GB"/>
        </w:rPr>
        <w:t>Londres</w:t>
      </w:r>
    </w:p>
    <w:p>
      <w:pPr>
        <w:rPr>
          <w:rFonts w:cs="Arial"/>
          <w:lang w:val="en-GB"/>
        </w:rPr>
      </w:pPr>
      <w:r>
        <w:rPr>
          <w:rFonts w:cs="Arial"/>
          <w:lang w:val="en-GB"/>
        </w:rPr>
        <w:t>W3 7QH</w:t>
      </w:r>
    </w:p>
    <w:p>
      <w:pPr>
        <w:rPr>
          <w:rFonts w:cs="Arial"/>
        </w:rPr>
      </w:pPr>
      <w:r>
        <w:rPr>
          <w:rFonts w:cs="Arial"/>
        </w:rPr>
        <w:t>Grã-Bretanha</w:t>
      </w:r>
    </w:p>
    <w:p>
      <w:pPr>
        <w:rPr>
          <w:rFonts w:cs="Arial"/>
        </w:rPr>
      </w:pPr>
      <w:r>
        <w:rPr>
          <w:rFonts w:cs="Arial"/>
        </w:rPr>
        <w:t>Tel: + 44 (0)20 8743 8880</w:t>
      </w:r>
    </w:p>
    <w:p>
      <w:pPr>
        <w:rPr>
          <w:rFonts w:cs="Arial"/>
        </w:rPr>
      </w:pPr>
      <w:r>
        <w:rPr>
          <w:rFonts w:cs="Arial"/>
        </w:rPr>
        <w:t>Fax: + 44 (0)20 8740 4200</w:t>
      </w:r>
    </w:p>
    <w:p>
      <w:pPr>
        <w:rPr>
          <w:rFonts w:cs="Arial"/>
        </w:rPr>
      </w:pPr>
      <w:hyperlink r:id="rId21" w:history="1">
        <w:r>
          <w:rPr>
            <w:rStyle w:val="Hyperlink"/>
            <w:rFonts w:cs="Arial"/>
          </w:rPr>
          <w:t>sales@e2s.com</w:t>
        </w:r>
      </w:hyperlink>
      <w:r>
        <w:rPr>
          <w:rFonts w:cs="Arial"/>
        </w:rPr>
        <w:t xml:space="preserve"> </w:t>
      </w:r>
    </w:p>
    <w:p>
      <w:pPr>
        <w:tabs>
          <w:tab w:val="left" w:pos="851"/>
          <w:tab w:val="right" w:pos="9072"/>
        </w:tabs>
        <w:rPr>
          <w:lang w:val="fr-FR"/>
        </w:rPr>
      </w:pPr>
      <w:hyperlink r:id="rId22" w:history="1">
        <w:r>
          <w:rPr>
            <w:rStyle w:val="Hyperlink"/>
            <w:rFonts w:cs="Arial"/>
            <w:lang w:val="fr-FR"/>
          </w:rPr>
          <w:t>e2s.com</w:t>
        </w:r>
      </w:hyperlink>
    </w:p>
    <w:p>
      <w:pPr>
        <w:tabs>
          <w:tab w:val="left" w:pos="851"/>
          <w:tab w:val="right" w:pos="9072"/>
        </w:tabs>
        <w:rPr>
          <w:lang w:val="fr-FR"/>
        </w:rPr>
      </w:pPr>
    </w:p>
    <w:p>
      <w:pPr>
        <w:tabs>
          <w:tab w:val="left" w:pos="851"/>
          <w:tab w:val="right" w:pos="9072"/>
        </w:tabs>
        <w:spacing w:line="280" w:lineRule="exact"/>
        <w:rPr>
          <w:rFonts w:asciiTheme="minorHAnsi" w:hAnsiTheme="minorHAnsi" w:cstheme="minorHAnsi"/>
          <w:szCs w:val="22"/>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intPostScriptOverText/>
  <w:proofState w:spelling="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snapToGrid/>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994">
      <w:bodyDiv w:val="1"/>
      <w:marLeft w:val="0"/>
      <w:marRight w:val="0"/>
      <w:marTop w:val="0"/>
      <w:marBottom w:val="0"/>
      <w:divBdr>
        <w:top w:val="none" w:sz="0" w:space="0" w:color="auto"/>
        <w:left w:val="none" w:sz="0" w:space="0" w:color="auto"/>
        <w:bottom w:val="none" w:sz="0" w:space="0" w:color="auto"/>
        <w:right w:val="none" w:sz="0" w:space="0" w:color="auto"/>
      </w:divBdr>
      <w:divsChild>
        <w:div w:id="144823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s://www.e2s.com/product/13453"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hyperlink" Target="mailto:sales@e2s.com" TargetMode="External"/><Relationship Id="rId7" Type="http://schemas.openxmlformats.org/officeDocument/2006/relationships/hyperlink" Target="https://www.parkfield.co.uk/e2s/m-series-upgrade-br.docx" TargetMode="External"/><Relationship Id="rId12" Type="http://schemas.openxmlformats.org/officeDocument/2006/relationships/hyperlink" Target="https://www.e2s.com/product/13452"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s://www.e2s.com/product/13383"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s://www.parkfield.co.uk/e2s/m-series-upgrade-print.jpg" TargetMode="External"/><Relationship Id="rId11" Type="http://schemas.openxmlformats.org/officeDocument/2006/relationships/hyperlink" Target="https://www.e2s.com/product/1345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2s.com/product/13387" TargetMode="External"/><Relationship Id="rId23" Type="http://schemas.openxmlformats.org/officeDocument/2006/relationships/fontTable" Target="fontTable.xml"/><Relationship Id="rId10" Type="http://schemas.openxmlformats.org/officeDocument/2006/relationships/hyperlink" Target="https://www.e2s.com/product/13451"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s://www.e2s.com/product/13450" TargetMode="External"/><Relationship Id="rId14" Type="http://schemas.openxmlformats.org/officeDocument/2006/relationships/hyperlink" Target="https://www.e2s.com/product/13453" TargetMode="External"/><Relationship Id="rId22"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2021-04-16T11:56:00Z</dcterms:created>
  <dcterms:modified xsi:type="dcterms:W3CDTF">2021-04-16T11:56:00Z</dcterms:modified>
</cp:coreProperties>
</file>