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>
        <w:rPr>
          <w:rFonts w:ascii="MingLiU" w:eastAsia="MingLiU" w:hAnsi="MingLiU" w:cs="SimSun"/>
          <w:b/>
          <w:bCs/>
          <w:color w:val="C00000"/>
          <w:sz w:val="50"/>
          <w:szCs w:val="50"/>
        </w:rPr>
        <w:t>新闻资料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ab/>
      </w:r>
    </w:p>
    <w:p>
      <w:pPr>
        <w:rPr>
          <w:rFonts w:eastAsia="MingLiU"/>
          <w:bCs/>
          <w:szCs w:val="24"/>
        </w:rPr>
      </w:pPr>
      <w:r>
        <w:rPr>
          <w:rFonts w:eastAsia="MingLiU" w:hint="eastAsia"/>
          <w:bCs/>
          <w:szCs w:val="24"/>
        </w:rPr>
        <w:t>发布于</w:t>
      </w:r>
      <w:r>
        <w:rPr>
          <w:rFonts w:eastAsia="MingLiU" w:hint="eastAsia"/>
          <w:bCs/>
          <w:szCs w:val="24"/>
        </w:rPr>
        <w:t xml:space="preserve"> </w:t>
      </w:r>
      <w:r>
        <w:rPr>
          <w:rFonts w:eastAsia="SimSun" w:hint="eastAsia"/>
          <w:bCs/>
          <w:szCs w:val="24"/>
        </w:rPr>
        <w:t>2021</w:t>
      </w:r>
      <w:r>
        <w:rPr>
          <w:rFonts w:eastAsia="SimSun" w:hint="eastAsia"/>
          <w:bCs/>
          <w:szCs w:val="24"/>
        </w:rPr>
        <w:t>年</w:t>
      </w:r>
      <w:r>
        <w:rPr>
          <w:rFonts w:eastAsia="SimSun" w:hint="eastAsia"/>
          <w:bCs/>
          <w:szCs w:val="24"/>
        </w:rPr>
        <w:t>4</w:t>
      </w:r>
      <w:r>
        <w:rPr>
          <w:rFonts w:eastAsia="SimSun" w:hint="eastAsia"/>
          <w:bCs/>
          <w:szCs w:val="24"/>
        </w:rPr>
        <w:t>月</w:t>
      </w:r>
      <w:r>
        <w:rPr>
          <w:rFonts w:eastAsia="SimSun" w:hint="eastAsia"/>
          <w:bCs/>
          <w:szCs w:val="24"/>
        </w:rPr>
        <w:t>19</w:t>
      </w:r>
      <w:r>
        <w:rPr>
          <w:rFonts w:eastAsia="SimSun" w:hint="eastAsia"/>
          <w:bCs/>
          <w:szCs w:val="24"/>
        </w:rPr>
        <w:t>日</w:t>
      </w:r>
    </w:p>
    <w:p>
      <w:pPr>
        <w:rPr>
          <w:rFonts w:ascii="MingLiU" w:eastAsia="MingLiU" w:hAnsi="MingLiU" w:cs="SimSun"/>
          <w:bCs/>
        </w:rPr>
      </w:pPr>
    </w:p>
    <w:p>
      <w:pPr>
        <w:rPr>
          <w:rFonts w:eastAsia="MingLiU"/>
        </w:rPr>
      </w:pPr>
      <w:r>
        <w:rPr>
          <w:rFonts w:ascii="MingLiU" w:eastAsia="MingLiU" w:hAnsi="MingLiU" w:cs="SimSun"/>
          <w:bCs/>
        </w:rPr>
        <w:t xml:space="preserve">要下载 300dpi 打印质量图片，请访问 </w:t>
      </w:r>
      <w:hyperlink r:id="rId6" w:history="1">
        <w:r>
          <w:rPr>
            <w:rStyle w:val="Hyperlink"/>
            <w:rFonts w:ascii="MingLiU" w:eastAsia="MingLiU" w:hAnsi="MingLiU" w:cs="SimSun"/>
            <w:bCs/>
          </w:rPr>
          <w:t>parkfield.co.uk/e2s/m-series-upgrade-print.jpg</w:t>
        </w:r>
      </w:hyperlink>
    </w:p>
    <w:p>
      <w:pPr>
        <w:rPr>
          <w:rFonts w:ascii="MingLiU" w:eastAsia="MingLiU" w:hAnsi="MingLiU" w:cs="SimSun"/>
          <w:bCs/>
        </w:rPr>
      </w:pPr>
    </w:p>
    <w:p>
      <w:pPr>
        <w:rPr>
          <w:rFonts w:eastAsia="MingLiU"/>
        </w:rPr>
      </w:pPr>
      <w:r>
        <w:rPr>
          <w:rFonts w:ascii="MingLiU" w:eastAsia="MingLiU" w:hAnsi="MingLiU" w:cs="SimSun"/>
          <w:bCs/>
        </w:rPr>
        <w:t xml:space="preserve">要下载 Word 格式文章，请访问 </w:t>
      </w:r>
      <w:hyperlink r:id="rId7" w:history="1">
        <w:r>
          <w:rPr>
            <w:rStyle w:val="Hyperlink"/>
            <w:rFonts w:ascii="MingLiU" w:eastAsia="MingLiU" w:hAnsi="MingLiU" w:cs="SimSun"/>
            <w:bCs/>
          </w:rPr>
          <w:t>parkfield.co.uk/e2s/m-series-upgrade-cn.docx</w:t>
        </w:r>
      </w:hyperlink>
    </w:p>
    <w:p>
      <w:pPr>
        <w:rPr>
          <w:rFonts w:ascii="MingLiU" w:eastAsia="MingLiU" w:hAnsi="MingLiU" w:cs="SimSun"/>
          <w:bCs/>
        </w:rPr>
      </w:pPr>
    </w:p>
    <w:p>
      <w:pPr>
        <w:rPr>
          <w:rFonts w:eastAsia="MingLiU"/>
        </w:rPr>
      </w:pPr>
      <w:r>
        <w:rPr>
          <w:rFonts w:ascii="MingLiU" w:eastAsia="MingLiU" w:hAnsi="MingLiU" w:cs="SimSun"/>
          <w:bCs/>
        </w:rPr>
        <w:t xml:space="preserve">要查看全部 E2S 新闻资料，请访问 </w:t>
      </w:r>
      <w:hyperlink r:id="rId8" w:history="1">
        <w:r>
          <w:rPr>
            <w:rStyle w:val="Hyperlink"/>
            <w:rFonts w:ascii="MingLiU" w:eastAsia="MingLiU" w:hAnsi="MingLiU" w:cs="SimSun"/>
            <w:bCs/>
          </w:rPr>
          <w:t>parkfield.co.uk/e2s</w:t>
        </w:r>
      </w:hyperlink>
    </w:p>
    <w:p>
      <w:pPr>
        <w:widowControl/>
        <w:spacing w:line="280" w:lineRule="exact"/>
        <w:rPr>
          <w:rFonts w:asciiTheme="majorHAnsi" w:eastAsia="MingLiU" w:hAnsiTheme="majorHAnsi" w:cstheme="majorHAnsi"/>
          <w:b/>
          <w:bCs/>
          <w:snapToGrid/>
          <w:szCs w:val="22"/>
        </w:rPr>
      </w:pP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r>
        <w:rPr>
          <w:rFonts w:asciiTheme="majorHAnsi" w:eastAsia="MingLiU" w:hAnsiTheme="majorHAnsi" w:cstheme="majorHAnsi"/>
          <w:b/>
          <w:bCs/>
          <w:snapToGrid/>
          <w:szCs w:val="22"/>
        </w:rPr>
        <w:t xml:space="preserve">E2S M </w:t>
      </w:r>
      <w:r>
        <w:rPr>
          <w:rFonts w:asciiTheme="majorHAnsi" w:eastAsia="MingLiU" w:hAnsiTheme="majorHAnsi" w:cstheme="majorHAnsi"/>
          <w:b/>
          <w:bCs/>
          <w:snapToGrid/>
          <w:szCs w:val="22"/>
        </w:rPr>
        <w:t>系列升级了报警喇叭，采用</w:t>
      </w:r>
      <w:r>
        <w:rPr>
          <w:rFonts w:asciiTheme="majorHAnsi" w:eastAsia="MingLiU" w:hAnsiTheme="majorHAnsi" w:cstheme="majorHAnsi"/>
          <w:b/>
          <w:bCs/>
          <w:snapToGrid/>
          <w:szCs w:val="22"/>
        </w:rPr>
        <w:t xml:space="preserve"> IP66/67 </w:t>
      </w:r>
      <w:r>
        <w:rPr>
          <w:rFonts w:asciiTheme="majorHAnsi" w:eastAsia="MingLiU" w:hAnsiTheme="majorHAnsi" w:cstheme="majorHAnsi"/>
          <w:b/>
          <w:bCs/>
          <w:snapToGrid/>
          <w:szCs w:val="22"/>
        </w:rPr>
        <w:t>型</w:t>
      </w:r>
      <w:r>
        <w:rPr>
          <w:rFonts w:asciiTheme="majorHAnsi" w:eastAsia="MingLiU" w:hAnsiTheme="majorHAnsi" w:cstheme="majorHAnsi"/>
          <w:b/>
          <w:bCs/>
          <w:snapToGrid/>
          <w:szCs w:val="22"/>
        </w:rPr>
        <w:t xml:space="preserve"> 4/4 X/13 </w:t>
      </w:r>
      <w:r>
        <w:rPr>
          <w:rFonts w:asciiTheme="majorHAnsi" w:eastAsia="MingLiU" w:hAnsiTheme="majorHAnsi" w:cstheme="majorHAnsi"/>
          <w:b/>
          <w:bCs/>
          <w:snapToGrid/>
          <w:szCs w:val="22"/>
        </w:rPr>
        <w:t>外壳</w:t>
      </w: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r>
        <w:rPr>
          <w:rFonts w:asciiTheme="majorHAnsi" w:eastAsia="MingLiU" w:hAnsiTheme="majorHAnsi" w:cstheme="majorHAnsi"/>
          <w:snapToGrid/>
          <w:szCs w:val="22"/>
        </w:rPr>
        <w:t xml:space="preserve">E2S Warning Signals </w:t>
      </w:r>
      <w:r>
        <w:rPr>
          <w:rFonts w:asciiTheme="majorHAnsi" w:eastAsia="MingLiU" w:hAnsiTheme="majorHAnsi" w:cstheme="majorHAnsi"/>
          <w:snapToGrid/>
          <w:szCs w:val="22"/>
        </w:rPr>
        <w:t>作为全球领先的声光报警设备制造商，推出了新一代</w:t>
      </w:r>
      <w:r>
        <w:rPr>
          <w:rFonts w:asciiTheme="majorHAnsi" w:eastAsia="MingLiU" w:hAnsiTheme="majorHAnsi" w:cstheme="majorHAnsi"/>
          <w:snapToGrid/>
          <w:szCs w:val="22"/>
        </w:rPr>
        <w:t xml:space="preserve"> M </w:t>
      </w:r>
      <w:r>
        <w:rPr>
          <w:rFonts w:asciiTheme="majorHAnsi" w:eastAsia="MingLiU" w:hAnsiTheme="majorHAnsi" w:cstheme="majorHAnsi"/>
          <w:snapToGrid/>
          <w:szCs w:val="22"/>
        </w:rPr>
        <w:t>系列工业报警喇叭。全新</w:t>
      </w:r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hyperlink r:id="rId9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MA1F</w:t>
        </w:r>
      </w:hyperlink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t>和</w:t>
      </w:r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hyperlink r:id="rId10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MA2F</w:t>
        </w:r>
      </w:hyperlink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t>虽采用了与之前的</w:t>
      </w:r>
      <w:r>
        <w:rPr>
          <w:rFonts w:asciiTheme="majorHAnsi" w:eastAsia="MingLiU" w:hAnsiTheme="majorHAnsi" w:cstheme="majorHAnsi"/>
          <w:snapToGrid/>
          <w:szCs w:val="22"/>
        </w:rPr>
        <w:t xml:space="preserve"> MA112 </w:t>
      </w:r>
      <w:r>
        <w:rPr>
          <w:rFonts w:asciiTheme="majorHAnsi" w:eastAsia="MingLiU" w:hAnsiTheme="majorHAnsi" w:cstheme="majorHAnsi"/>
          <w:snapToGrid/>
          <w:szCs w:val="22"/>
        </w:rPr>
        <w:t>和</w:t>
      </w:r>
      <w:r>
        <w:rPr>
          <w:rFonts w:asciiTheme="majorHAnsi" w:eastAsia="MingLiU" w:hAnsiTheme="majorHAnsi" w:cstheme="majorHAnsi"/>
          <w:snapToGrid/>
          <w:szCs w:val="22"/>
        </w:rPr>
        <w:t xml:space="preserve"> MA121 </w:t>
      </w:r>
      <w:r>
        <w:rPr>
          <w:rFonts w:asciiTheme="majorHAnsi" w:eastAsia="MingLiU" w:hAnsiTheme="majorHAnsi" w:cstheme="majorHAnsi"/>
          <w:snapToGrid/>
          <w:szCs w:val="22"/>
        </w:rPr>
        <w:t>型号同样的外壳和安装方式，但却采用了包含最新</w:t>
      </w:r>
      <w:r>
        <w:rPr>
          <w:rFonts w:asciiTheme="majorHAnsi" w:eastAsia="MingLiU" w:hAnsiTheme="majorHAnsi" w:cstheme="majorHAnsi"/>
          <w:snapToGrid/>
          <w:szCs w:val="22"/>
        </w:rPr>
        <w:t xml:space="preserve"> D </w:t>
      </w:r>
      <w:r>
        <w:rPr>
          <w:rFonts w:asciiTheme="majorHAnsi" w:eastAsia="MingLiU" w:hAnsiTheme="majorHAnsi" w:cstheme="majorHAnsi"/>
          <w:snapToGrid/>
          <w:szCs w:val="22"/>
        </w:rPr>
        <w:t>类放大器技术的增强型电子元件，具有更低的浪涌电流、更宽的电压范围、更低的电流消耗以及改进的报警音选择和控制功能。</w:t>
      </w: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hyperlink r:id="rId11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MA1F</w:t>
        </w:r>
      </w:hyperlink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t>采用了标准的定向喇叭；</w:t>
      </w:r>
      <w:hyperlink r:id="rId12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MA1R</w:t>
        </w:r>
      </w:hyperlink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t>则配备了创新的</w:t>
      </w:r>
      <w:r>
        <w:rPr>
          <w:rFonts w:asciiTheme="majorHAnsi" w:eastAsia="MingLiU" w:hAnsiTheme="majorHAnsi" w:cstheme="majorHAnsi"/>
          <w:snapToGrid/>
          <w:szCs w:val="22"/>
        </w:rPr>
        <w:t xml:space="preserve"> E2S“1R”</w:t>
      </w:r>
      <w:r>
        <w:rPr>
          <w:rFonts w:asciiTheme="majorHAnsi" w:eastAsia="MingLiU" w:hAnsiTheme="majorHAnsi" w:cstheme="majorHAnsi"/>
          <w:snapToGrid/>
          <w:szCs w:val="22"/>
        </w:rPr>
        <w:t>全向喇叭，特别适合要求紧凑型装置的应用。为了满足更高的声音输出要求，全新</w:t>
      </w:r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hyperlink r:id="rId13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MA2H</w:t>
        </w:r>
      </w:hyperlink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t>报警喇叭采用了新款</w:t>
      </w:r>
      <w:r>
        <w:rPr>
          <w:rFonts w:asciiTheme="majorHAnsi" w:eastAsia="MingLiU" w:hAnsiTheme="majorHAnsi" w:cstheme="majorHAnsi"/>
          <w:snapToGrid/>
          <w:szCs w:val="22"/>
        </w:rPr>
        <w:t xml:space="preserve"> E2S“2H”</w:t>
      </w:r>
      <w:r>
        <w:rPr>
          <w:rFonts w:asciiTheme="majorHAnsi" w:eastAsia="MingLiU" w:hAnsiTheme="majorHAnsi" w:cstheme="majorHAnsi"/>
          <w:snapToGrid/>
          <w:szCs w:val="22"/>
        </w:rPr>
        <w:t>超高输出喇叭，其被设计为在最广泛的频率范围内，以高达</w:t>
      </w:r>
      <w:r>
        <w:rPr>
          <w:rFonts w:asciiTheme="majorHAnsi" w:eastAsia="MingLiU" w:hAnsiTheme="majorHAnsi" w:cstheme="majorHAnsi"/>
          <w:snapToGrid/>
          <w:szCs w:val="22"/>
        </w:rPr>
        <w:t xml:space="preserve"> 130dB(A) </w:t>
      </w:r>
      <w:r>
        <w:rPr>
          <w:rFonts w:asciiTheme="majorHAnsi" w:eastAsia="MingLiU" w:hAnsiTheme="majorHAnsi" w:cstheme="majorHAnsi"/>
          <w:snapToGrid/>
          <w:szCs w:val="22"/>
        </w:rPr>
        <w:t>的声级实现最强的声音信号性能。如需查看完整的规格说明，请</w:t>
      </w:r>
      <w:hyperlink r:id="rId14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点击这里</w:t>
        </w:r>
      </w:hyperlink>
      <w:r>
        <w:rPr>
          <w:rFonts w:asciiTheme="majorHAnsi" w:eastAsia="MingLiU" w:hAnsiTheme="majorHAnsi" w:cstheme="majorHAnsi"/>
          <w:snapToGrid/>
          <w:szCs w:val="22"/>
        </w:rPr>
        <w:t>。</w:t>
      </w:r>
      <w:r>
        <w:rPr>
          <w:rFonts w:asciiTheme="majorHAnsi" w:eastAsia="MingLiU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r>
        <w:rPr>
          <w:rFonts w:asciiTheme="majorHAnsi" w:eastAsia="MingLiU" w:hAnsiTheme="majorHAnsi" w:cstheme="majorHAnsi"/>
          <w:snapToGrid/>
          <w:szCs w:val="22"/>
        </w:rPr>
        <w:t>该报警喇叭的直流电压范围从</w:t>
      </w:r>
      <w:r>
        <w:rPr>
          <w:rFonts w:asciiTheme="majorHAnsi" w:eastAsia="MingLiU" w:hAnsiTheme="majorHAnsi" w:cstheme="majorHAnsi"/>
          <w:snapToGrid/>
          <w:szCs w:val="22"/>
        </w:rPr>
        <w:t xml:space="preserve"> 10 </w:t>
      </w:r>
      <w:r>
        <w:rPr>
          <w:rFonts w:asciiTheme="majorHAnsi" w:eastAsia="MingLiU" w:hAnsiTheme="majorHAnsi" w:cstheme="majorHAnsi"/>
          <w:snapToGrid/>
          <w:szCs w:val="22"/>
        </w:rPr>
        <w:t>扩展至</w:t>
      </w:r>
      <w:r>
        <w:rPr>
          <w:rFonts w:asciiTheme="majorHAnsi" w:eastAsia="MingLiU" w:hAnsiTheme="majorHAnsi" w:cstheme="majorHAnsi"/>
          <w:snapToGrid/>
          <w:szCs w:val="22"/>
        </w:rPr>
        <w:t xml:space="preserve"> 60VDC</w:t>
      </w:r>
      <w:r>
        <w:rPr>
          <w:rFonts w:asciiTheme="majorHAnsi" w:eastAsia="MingLiU" w:hAnsiTheme="majorHAnsi" w:cstheme="majorHAnsi"/>
          <w:snapToGrid/>
          <w:szCs w:val="22"/>
        </w:rPr>
        <w:t>，而交流型号则采用了一个通用电源，可接受</w:t>
      </w:r>
      <w:r>
        <w:rPr>
          <w:rFonts w:asciiTheme="majorHAnsi" w:eastAsia="MingLiU" w:hAnsiTheme="majorHAnsi" w:cstheme="majorHAnsi"/>
          <w:snapToGrid/>
          <w:szCs w:val="22"/>
        </w:rPr>
        <w:t xml:space="preserve"> 100 </w:t>
      </w:r>
      <w:r>
        <w:rPr>
          <w:rFonts w:asciiTheme="majorHAnsi" w:eastAsia="MingLiU" w:hAnsiTheme="majorHAnsi" w:cstheme="majorHAnsi"/>
          <w:snapToGrid/>
          <w:szCs w:val="22"/>
        </w:rPr>
        <w:t>至</w:t>
      </w:r>
      <w:r>
        <w:rPr>
          <w:rFonts w:asciiTheme="majorHAnsi" w:eastAsia="MingLiU" w:hAnsiTheme="majorHAnsi" w:cstheme="majorHAnsi"/>
          <w:snapToGrid/>
          <w:szCs w:val="22"/>
        </w:rPr>
        <w:t xml:space="preserve"> 240VAC </w:t>
      </w:r>
      <w:r>
        <w:rPr>
          <w:rFonts w:asciiTheme="majorHAnsi" w:eastAsia="MingLiU" w:hAnsiTheme="majorHAnsi" w:cstheme="majorHAnsi"/>
          <w:snapToGrid/>
          <w:szCs w:val="22"/>
        </w:rPr>
        <w:t>的输入电压。具有更高直流电压的型号可根据需求提供。</w:t>
      </w:r>
      <w:r>
        <w:rPr>
          <w:rFonts w:asciiTheme="majorHAnsi" w:eastAsia="MingLiU" w:hAnsiTheme="majorHAnsi" w:cstheme="majorHAnsi"/>
          <w:snapToGrid/>
          <w:szCs w:val="22"/>
        </w:rPr>
        <w:t xml:space="preserve">MA1 </w:t>
      </w:r>
      <w:r>
        <w:rPr>
          <w:rFonts w:asciiTheme="majorHAnsi" w:eastAsia="MingLiU" w:hAnsiTheme="majorHAnsi" w:cstheme="majorHAnsi"/>
          <w:snapToGrid/>
          <w:szCs w:val="22"/>
        </w:rPr>
        <w:t>型号的出厂设置为</w:t>
      </w:r>
      <w:r>
        <w:rPr>
          <w:rFonts w:asciiTheme="majorHAnsi" w:eastAsia="MingLiU" w:hAnsiTheme="majorHAnsi" w:cstheme="majorHAnsi"/>
          <w:snapToGrid/>
          <w:szCs w:val="22"/>
        </w:rPr>
        <w:t xml:space="preserve"> 24VDC </w:t>
      </w:r>
      <w:r>
        <w:rPr>
          <w:rFonts w:asciiTheme="majorHAnsi" w:eastAsia="MingLiU" w:hAnsiTheme="majorHAnsi" w:cstheme="majorHAnsi"/>
          <w:snapToGrid/>
          <w:szCs w:val="22"/>
        </w:rPr>
        <w:t>下仅消耗</w:t>
      </w:r>
      <w:r>
        <w:rPr>
          <w:rFonts w:asciiTheme="majorHAnsi" w:eastAsia="MingLiU" w:hAnsiTheme="majorHAnsi" w:cstheme="majorHAnsi"/>
          <w:snapToGrid/>
          <w:szCs w:val="22"/>
        </w:rPr>
        <w:t xml:space="preserve"> 224mA </w:t>
      </w:r>
      <w:r>
        <w:rPr>
          <w:rFonts w:asciiTheme="majorHAnsi" w:eastAsia="MingLiU" w:hAnsiTheme="majorHAnsi" w:cstheme="majorHAnsi"/>
          <w:snapToGrid/>
          <w:szCs w:val="22"/>
        </w:rPr>
        <w:t>的低电流，声音输出为</w:t>
      </w:r>
      <w:r>
        <w:rPr>
          <w:rFonts w:asciiTheme="majorHAnsi" w:eastAsia="MingLiU" w:hAnsiTheme="majorHAnsi" w:cstheme="majorHAnsi"/>
          <w:snapToGrid/>
          <w:szCs w:val="22"/>
        </w:rPr>
        <w:t xml:space="preserve"> 117dB(A)</w:t>
      </w:r>
      <w:r>
        <w:rPr>
          <w:rFonts w:asciiTheme="majorHAnsi" w:eastAsia="MingLiU" w:hAnsiTheme="majorHAnsi" w:cstheme="majorHAnsi"/>
          <w:snapToGrid/>
          <w:szCs w:val="22"/>
        </w:rPr>
        <w:t>。</w:t>
      </w:r>
      <w:r>
        <w:rPr>
          <w:rFonts w:asciiTheme="majorHAnsi" w:eastAsia="MingLiU" w:hAnsiTheme="majorHAnsi" w:cstheme="majorHAnsi"/>
          <w:snapToGrid/>
          <w:szCs w:val="22"/>
        </w:rPr>
        <w:t xml:space="preserve">MA2 </w:t>
      </w:r>
      <w:r>
        <w:rPr>
          <w:rFonts w:asciiTheme="majorHAnsi" w:eastAsia="MingLiU" w:hAnsiTheme="majorHAnsi" w:cstheme="majorHAnsi"/>
          <w:snapToGrid/>
          <w:szCs w:val="22"/>
        </w:rPr>
        <w:t>型号具有两种用户可选择的电源模式，提供了电流消耗和声音输出的最佳组合：</w:t>
      </w:r>
      <w:r>
        <w:rPr>
          <w:rFonts w:asciiTheme="majorHAnsi" w:eastAsia="MingLiU" w:hAnsiTheme="majorHAnsi" w:cstheme="majorHAnsi"/>
          <w:snapToGrid/>
          <w:szCs w:val="22"/>
        </w:rPr>
        <w:t xml:space="preserve">391mA </w:t>
      </w:r>
      <w:r>
        <w:rPr>
          <w:rFonts w:asciiTheme="majorHAnsi" w:eastAsia="MingLiU" w:hAnsiTheme="majorHAnsi" w:cstheme="majorHAnsi"/>
          <w:snapToGrid/>
          <w:szCs w:val="22"/>
        </w:rPr>
        <w:t>和</w:t>
      </w:r>
      <w:r>
        <w:rPr>
          <w:rFonts w:asciiTheme="majorHAnsi" w:eastAsia="MingLiU" w:hAnsiTheme="majorHAnsi" w:cstheme="majorHAnsi"/>
          <w:snapToGrid/>
          <w:szCs w:val="22"/>
        </w:rPr>
        <w:t xml:space="preserve"> 126dB(A) </w:t>
      </w:r>
      <w:r>
        <w:rPr>
          <w:rFonts w:asciiTheme="majorHAnsi" w:eastAsia="MingLiU" w:hAnsiTheme="majorHAnsi" w:cstheme="majorHAnsi"/>
          <w:snapToGrid/>
          <w:szCs w:val="22"/>
        </w:rPr>
        <w:t>到</w:t>
      </w:r>
      <w:r>
        <w:rPr>
          <w:rFonts w:asciiTheme="majorHAnsi" w:eastAsia="MingLiU" w:hAnsiTheme="majorHAnsi" w:cstheme="majorHAnsi"/>
          <w:snapToGrid/>
          <w:szCs w:val="22"/>
        </w:rPr>
        <w:t xml:space="preserve"> 888mA </w:t>
      </w:r>
      <w:r>
        <w:rPr>
          <w:rFonts w:asciiTheme="majorHAnsi" w:eastAsia="MingLiU" w:hAnsiTheme="majorHAnsi" w:cstheme="majorHAnsi"/>
          <w:snapToGrid/>
          <w:szCs w:val="22"/>
        </w:rPr>
        <w:t>和</w:t>
      </w:r>
      <w:r>
        <w:rPr>
          <w:rFonts w:asciiTheme="majorHAnsi" w:eastAsia="MingLiU" w:hAnsiTheme="majorHAnsi" w:cstheme="majorHAnsi"/>
          <w:snapToGrid/>
          <w:szCs w:val="22"/>
        </w:rPr>
        <w:t xml:space="preserve"> 130dB(A)</w:t>
      </w:r>
      <w:r>
        <w:rPr>
          <w:rFonts w:asciiTheme="majorHAnsi" w:eastAsia="MingLiU" w:hAnsiTheme="majorHAnsi" w:cstheme="majorHAnsi"/>
          <w:snapToGrid/>
          <w:szCs w:val="22"/>
        </w:rPr>
        <w:t>。</w:t>
      </w:r>
      <w:r>
        <w:rPr>
          <w:rFonts w:asciiTheme="majorHAnsi" w:eastAsia="MingLiU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r>
        <w:rPr>
          <w:rFonts w:asciiTheme="majorHAnsi" w:eastAsia="MingLiU" w:hAnsiTheme="majorHAnsi" w:cstheme="majorHAnsi"/>
          <w:snapToGrid/>
          <w:szCs w:val="22"/>
        </w:rPr>
        <w:t>其标配</w:t>
      </w:r>
      <w:r>
        <w:rPr>
          <w:rFonts w:asciiTheme="majorHAnsi" w:eastAsia="MingLiU" w:hAnsiTheme="majorHAnsi" w:cstheme="majorHAnsi"/>
          <w:snapToGrid/>
          <w:szCs w:val="22"/>
        </w:rPr>
        <w:t xml:space="preserve"> 4 </w:t>
      </w:r>
      <w:r>
        <w:rPr>
          <w:rFonts w:asciiTheme="majorHAnsi" w:eastAsia="MingLiU" w:hAnsiTheme="majorHAnsi" w:cstheme="majorHAnsi"/>
          <w:snapToGrid/>
          <w:szCs w:val="22"/>
        </w:rPr>
        <w:t>个可远程选择的报警级</w:t>
      </w:r>
      <w:r>
        <w:rPr>
          <w:rFonts w:asciiTheme="majorHAnsi" w:eastAsia="MingLiU" w:hAnsiTheme="majorHAnsi" w:cstheme="majorHAnsi"/>
          <w:snapToGrid/>
          <w:szCs w:val="22"/>
        </w:rPr>
        <w:t>/</w:t>
      </w:r>
      <w:r>
        <w:rPr>
          <w:rFonts w:asciiTheme="majorHAnsi" w:eastAsia="MingLiU" w:hAnsiTheme="majorHAnsi" w:cstheme="majorHAnsi"/>
          <w:snapToGrid/>
          <w:szCs w:val="22"/>
        </w:rPr>
        <w:t>通道，并可通过多种方法激活。一组新的</w:t>
      </w:r>
      <w:r>
        <w:rPr>
          <w:rFonts w:asciiTheme="majorHAnsi" w:eastAsia="MingLiU" w:hAnsiTheme="majorHAnsi" w:cstheme="majorHAnsi"/>
          <w:snapToGrid/>
          <w:szCs w:val="22"/>
        </w:rPr>
        <w:t xml:space="preserve"> 64 </w:t>
      </w:r>
      <w:r>
        <w:rPr>
          <w:rFonts w:asciiTheme="majorHAnsi" w:eastAsia="MingLiU" w:hAnsiTheme="majorHAnsi" w:cstheme="majorHAnsi"/>
          <w:snapToGrid/>
          <w:szCs w:val="22"/>
        </w:rPr>
        <w:t>个报警音频率可独立设置为第一级或第二级。可插拔、重复使用的电缆端子使得安装更为简单。</w:t>
      </w:r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r>
        <w:rPr>
          <w:rFonts w:asciiTheme="majorHAnsi" w:eastAsia="MingLiU" w:hAnsiTheme="majorHAnsi" w:cstheme="majorHAnsi"/>
          <w:snapToGrid/>
          <w:szCs w:val="22"/>
        </w:rPr>
        <w:t>该声</w:t>
      </w:r>
      <w:r>
        <w:rPr>
          <w:rFonts w:asciiTheme="majorHAnsi" w:eastAsia="MingLiU" w:hAnsiTheme="majorHAnsi" w:cstheme="majorHAnsi"/>
          <w:snapToGrid/>
          <w:szCs w:val="22"/>
        </w:rPr>
        <w:t>/</w:t>
      </w:r>
      <w:r>
        <w:rPr>
          <w:rFonts w:asciiTheme="majorHAnsi" w:eastAsia="MingLiU" w:hAnsiTheme="majorHAnsi" w:cstheme="majorHAnsi"/>
          <w:snapToGrid/>
          <w:szCs w:val="22"/>
        </w:rPr>
        <w:t>光组合装置还得益于新一代发声器电子装置</w:t>
      </w:r>
      <w:r>
        <w:rPr>
          <w:rFonts w:asciiTheme="majorHAnsi" w:eastAsia="MingLiU" w:hAnsiTheme="majorHAnsi" w:cstheme="majorHAnsi"/>
          <w:snapToGrid/>
          <w:szCs w:val="22"/>
        </w:rPr>
        <w:t xml:space="preserve"> - </w:t>
      </w:r>
      <w:r>
        <w:rPr>
          <w:rFonts w:asciiTheme="majorHAnsi" w:eastAsia="MingLiU" w:hAnsiTheme="majorHAnsi" w:cstheme="majorHAnsi"/>
          <w:snapToGrid/>
          <w:szCs w:val="22"/>
        </w:rPr>
        <w:t>带氙气频闪灯的</w:t>
      </w:r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hyperlink r:id="rId15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MC1X05</w:t>
        </w:r>
      </w:hyperlink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t>和带高输出</w:t>
      </w:r>
      <w:r>
        <w:rPr>
          <w:rFonts w:asciiTheme="majorHAnsi" w:eastAsia="MingLiU" w:hAnsiTheme="majorHAnsi" w:cstheme="majorHAnsi"/>
          <w:snapToGrid/>
          <w:szCs w:val="22"/>
        </w:rPr>
        <w:t xml:space="preserve"> LED </w:t>
      </w:r>
      <w:r>
        <w:rPr>
          <w:rFonts w:asciiTheme="majorHAnsi" w:eastAsia="MingLiU" w:hAnsiTheme="majorHAnsi" w:cstheme="majorHAnsi"/>
          <w:snapToGrid/>
          <w:szCs w:val="22"/>
        </w:rPr>
        <w:t>的</w:t>
      </w:r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hyperlink r:id="rId16" w:history="1">
        <w:r>
          <w:rPr>
            <w:rFonts w:asciiTheme="majorHAnsi" w:eastAsia="MingLiU" w:hAnsiTheme="majorHAnsi" w:cstheme="majorHAnsi"/>
            <w:snapToGrid/>
            <w:color w:val="0000FF"/>
            <w:szCs w:val="22"/>
            <w:u w:val="single"/>
          </w:rPr>
          <w:t>MC1LD2</w:t>
        </w:r>
      </w:hyperlink>
      <w:r>
        <w:rPr>
          <w:rFonts w:asciiTheme="majorHAnsi" w:eastAsia="MingLiU" w:hAnsiTheme="majorHAnsi" w:cstheme="majorHAnsi"/>
          <w:snapToGrid/>
          <w:szCs w:val="22"/>
        </w:rPr>
        <w:t>。</w:t>
      </w:r>
      <w:r>
        <w:rPr>
          <w:rFonts w:asciiTheme="majorHAnsi" w:eastAsia="MingLiU" w:hAnsiTheme="majorHAnsi" w:cstheme="majorHAnsi"/>
          <w:snapToGrid/>
          <w:szCs w:val="22"/>
        </w:rPr>
        <w:t xml:space="preserve"> </w:t>
      </w:r>
      <w:r>
        <w:rPr>
          <w:rFonts w:asciiTheme="majorHAnsi" w:eastAsia="MingLiU" w:hAnsiTheme="majorHAnsi" w:cstheme="majorHAnsi"/>
          <w:snapToGrid/>
          <w:szCs w:val="22"/>
        </w:rPr>
        <w:br/>
      </w: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r>
        <w:rPr>
          <w:rFonts w:asciiTheme="majorHAnsi" w:eastAsia="MingLiU" w:hAnsiTheme="majorHAnsi" w:cstheme="majorHAnsi"/>
          <w:snapToGrid/>
          <w:szCs w:val="22"/>
        </w:rPr>
        <w:t>所有装置都具有坚固的热塑性阻燃外壳和</w:t>
      </w:r>
      <w:r>
        <w:rPr>
          <w:rFonts w:asciiTheme="majorHAnsi" w:eastAsia="MingLiU" w:hAnsiTheme="majorHAnsi" w:cstheme="majorHAnsi"/>
          <w:snapToGrid/>
          <w:szCs w:val="22"/>
        </w:rPr>
        <w:t xml:space="preserve"> 316 (A4) </w:t>
      </w:r>
      <w:r>
        <w:rPr>
          <w:rFonts w:asciiTheme="majorHAnsi" w:eastAsia="MingLiU" w:hAnsiTheme="majorHAnsi" w:cstheme="majorHAnsi"/>
          <w:snapToGrid/>
          <w:szCs w:val="22"/>
        </w:rPr>
        <w:t>不锈钢安装支架，非常适合在要求</w:t>
      </w:r>
      <w:r>
        <w:rPr>
          <w:rFonts w:asciiTheme="majorHAnsi" w:eastAsia="MingLiU" w:hAnsiTheme="majorHAnsi" w:cstheme="majorHAnsi"/>
          <w:snapToGrid/>
          <w:szCs w:val="22"/>
        </w:rPr>
        <w:t xml:space="preserve"> 4/4X/13/3R </w:t>
      </w:r>
      <w:r>
        <w:rPr>
          <w:rFonts w:asciiTheme="majorHAnsi" w:eastAsia="MingLiU" w:hAnsiTheme="majorHAnsi" w:cstheme="majorHAnsi"/>
          <w:snapToGrid/>
          <w:szCs w:val="22"/>
        </w:rPr>
        <w:t>型</w:t>
      </w:r>
      <w:r>
        <w:rPr>
          <w:rFonts w:asciiTheme="majorHAnsi" w:eastAsia="MingLiU" w:hAnsiTheme="majorHAnsi" w:cstheme="majorHAnsi"/>
          <w:snapToGrid/>
          <w:szCs w:val="22"/>
        </w:rPr>
        <w:t xml:space="preserve"> IP66/67 </w:t>
      </w:r>
      <w:r>
        <w:rPr>
          <w:rFonts w:asciiTheme="majorHAnsi" w:eastAsia="MingLiU" w:hAnsiTheme="majorHAnsi" w:cstheme="majorHAnsi"/>
          <w:snapToGrid/>
          <w:szCs w:val="22"/>
        </w:rPr>
        <w:t>等级保护的恶劣环境中使用。</w:t>
      </w: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</w:p>
    <w:p>
      <w:pPr>
        <w:widowControl/>
        <w:spacing w:line="280" w:lineRule="exact"/>
        <w:rPr>
          <w:rFonts w:asciiTheme="majorHAnsi" w:eastAsia="MingLiU" w:hAnsiTheme="majorHAnsi" w:cstheme="majorHAnsi"/>
          <w:snapToGrid/>
          <w:szCs w:val="22"/>
        </w:rPr>
      </w:pPr>
      <w:r>
        <w:rPr>
          <w:rFonts w:asciiTheme="majorHAnsi" w:eastAsia="MingLiU" w:hAnsiTheme="majorHAnsi" w:cstheme="majorHAnsi"/>
          <w:snapToGrid/>
          <w:szCs w:val="22"/>
        </w:rPr>
        <w:t xml:space="preserve">*** </w:t>
      </w:r>
      <w:r>
        <w:rPr>
          <w:rFonts w:asciiTheme="majorHAnsi" w:eastAsia="MingLiU" w:hAnsiTheme="majorHAnsi" w:cstheme="majorHAnsi"/>
          <w:snapToGrid/>
          <w:szCs w:val="22"/>
        </w:rPr>
        <w:t>结束：正文副本</w:t>
      </w:r>
      <w:r>
        <w:rPr>
          <w:rFonts w:asciiTheme="majorHAnsi" w:eastAsia="MingLiU" w:hAnsiTheme="majorHAnsi" w:cstheme="majorHAnsi"/>
          <w:snapToGrid/>
          <w:szCs w:val="22"/>
        </w:rPr>
        <w:t xml:space="preserve"> 327 </w:t>
      </w:r>
      <w:r>
        <w:rPr>
          <w:rFonts w:asciiTheme="majorHAnsi" w:eastAsia="MingLiU" w:hAnsiTheme="majorHAnsi" w:cstheme="majorHAnsi"/>
          <w:snapToGrid/>
          <w:szCs w:val="22"/>
        </w:rPr>
        <w:t>字</w:t>
      </w:r>
      <w:r>
        <w:rPr>
          <w:rFonts w:asciiTheme="majorHAnsi" w:eastAsia="MingLiU" w:hAnsiTheme="majorHAnsi" w:cstheme="majorHAnsi"/>
          <w:snapToGrid/>
          <w:szCs w:val="22"/>
        </w:rPr>
        <w:t xml:space="preserve"> ***</w:t>
      </w:r>
    </w:p>
    <w:p>
      <w:pPr>
        <w:tabs>
          <w:tab w:val="left" w:pos="851"/>
          <w:tab w:val="right" w:pos="9072"/>
        </w:tabs>
        <w:spacing w:line="280" w:lineRule="exact"/>
        <w:rPr>
          <w:rFonts w:asciiTheme="majorHAnsi" w:eastAsia="MingLiU" w:hAnsiTheme="majorHAnsi" w:cstheme="majorHAnsi"/>
          <w:szCs w:val="22"/>
        </w:rPr>
      </w:pPr>
    </w:p>
    <w:p>
      <w:pPr>
        <w:widowControl/>
        <w:rPr>
          <w:rFonts w:eastAsia="MingLiU"/>
          <w:b/>
          <w:szCs w:val="24"/>
          <w:lang w:val="zh-CN"/>
        </w:rPr>
      </w:pPr>
      <w:r>
        <w:rPr>
          <w:rFonts w:eastAsia="MingLiU"/>
          <w:b/>
          <w:szCs w:val="24"/>
          <w:lang w:val="zh-CN"/>
        </w:rPr>
        <w:br w:type="page"/>
      </w:r>
    </w:p>
    <w:p>
      <w:pPr>
        <w:spacing w:line="260" w:lineRule="auto"/>
        <w:rPr>
          <w:rFonts w:eastAsia="MingLiU"/>
          <w:b/>
          <w:szCs w:val="24"/>
        </w:rPr>
      </w:pPr>
      <w:r>
        <w:rPr>
          <w:rFonts w:eastAsia="MingLiU" w:hint="eastAsia"/>
          <w:b/>
          <w:szCs w:val="24"/>
          <w:lang w:val="zh-CN"/>
        </w:rPr>
        <w:lastRenderedPageBreak/>
        <w:t>编者按</w:t>
      </w:r>
    </w:p>
    <w:p>
      <w:pPr>
        <w:spacing w:line="260" w:lineRule="auto"/>
        <w:rPr>
          <w:szCs w:val="24"/>
          <w:lang w:val="zh-CN"/>
        </w:rPr>
      </w:pPr>
    </w:p>
    <w:p>
      <w:pPr>
        <w:spacing w:line="260" w:lineRule="auto"/>
        <w:rPr>
          <w:rFonts w:eastAsia="MingLiU"/>
          <w:szCs w:val="24"/>
        </w:rPr>
      </w:pPr>
      <w:r>
        <w:rPr>
          <w:rFonts w:eastAsia="MingLiU" w:hint="eastAsia"/>
          <w:szCs w:val="24"/>
          <w:lang w:val="zh-CN"/>
        </w:rPr>
        <w:t>所有后续问询</w:t>
      </w:r>
      <w:r>
        <w:rPr>
          <w:rFonts w:eastAsia="MingLiU" w:hint="eastAsia"/>
          <w:szCs w:val="24"/>
        </w:rPr>
        <w:t>，</w:t>
      </w:r>
      <w:r>
        <w:rPr>
          <w:rFonts w:eastAsia="MingLiU" w:hint="eastAsia"/>
          <w:szCs w:val="24"/>
          <w:lang w:val="zh-CN"/>
        </w:rPr>
        <w:t>请联系以下人员</w:t>
      </w:r>
      <w:r>
        <w:rPr>
          <w:rFonts w:eastAsia="MingLiU" w:hint="eastAsia"/>
          <w:szCs w:val="24"/>
        </w:rPr>
        <w:t>：</w:t>
      </w:r>
      <w:r>
        <w:rPr>
          <w:rFonts w:eastAsia="MingLiU"/>
          <w:szCs w:val="24"/>
        </w:rPr>
        <w:tab/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Nigel May</w:t>
      </w:r>
      <w:r>
        <w:rPr>
          <w:rFonts w:eastAsia="MingLiU"/>
          <w:szCs w:val="24"/>
        </w:rPr>
        <w:tab/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Parkfield Communications Limited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Parkfield House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Damerham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SP6 3HQ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Great Britain</w:t>
      </w:r>
    </w:p>
    <w:p>
      <w:pPr>
        <w:spacing w:line="260" w:lineRule="auto"/>
        <w:rPr>
          <w:rFonts w:eastAsia="MingLiU"/>
          <w:szCs w:val="24"/>
        </w:rPr>
      </w:pPr>
      <w:r>
        <w:rPr>
          <w:rFonts w:eastAsia="MingLiU" w:hint="eastAsia"/>
          <w:szCs w:val="24"/>
          <w:lang w:val="zh-CN"/>
        </w:rPr>
        <w:t>电话</w:t>
      </w:r>
      <w:r>
        <w:rPr>
          <w:rFonts w:eastAsia="MingLiU" w:hint="eastAsia"/>
          <w:szCs w:val="24"/>
        </w:rPr>
        <w:t>：</w:t>
      </w:r>
      <w:r>
        <w:rPr>
          <w:rFonts w:eastAsia="MingLiU"/>
          <w:szCs w:val="24"/>
        </w:rPr>
        <w:t xml:space="preserve"> + 44 (0)1725 518321</w:t>
      </w:r>
    </w:p>
    <w:p>
      <w:pPr>
        <w:rPr>
          <w:rFonts w:eastAsia="MingLiU"/>
          <w:szCs w:val="24"/>
        </w:rPr>
      </w:pPr>
      <w:hyperlink r:id="rId17" w:history="1">
        <w:r>
          <w:rPr>
            <w:rStyle w:val="Hyperlink"/>
            <w:rFonts w:eastAsia="MingLiU" w:cs="Calibri"/>
            <w:noProof/>
            <w:szCs w:val="24"/>
          </w:rPr>
          <w:t>nigel.may@parkfield.co.uk</w:t>
        </w:r>
      </w:hyperlink>
      <w:r>
        <w:rPr>
          <w:rFonts w:eastAsia="MingLiU"/>
          <w:noProof/>
          <w:szCs w:val="24"/>
        </w:rPr>
        <w:t xml:space="preserve"> </w:t>
      </w:r>
    </w:p>
    <w:p>
      <w:pPr>
        <w:rPr>
          <w:rFonts w:eastAsia="MingLiU"/>
          <w:szCs w:val="24"/>
        </w:rPr>
      </w:pPr>
      <w:hyperlink r:id="rId18" w:history="1">
        <w:r>
          <w:rPr>
            <w:rStyle w:val="Hyperlink"/>
            <w:rFonts w:eastAsia="MingLiU" w:cs="Calibri"/>
            <w:noProof/>
            <w:szCs w:val="24"/>
          </w:rPr>
          <w:t>parkfield.co.uk</w:t>
        </w:r>
      </w:hyperlink>
      <w:r>
        <w:rPr>
          <w:rFonts w:eastAsia="MingLiU"/>
          <w:noProof/>
          <w:szCs w:val="24"/>
        </w:rPr>
        <w:t xml:space="preserve"> </w:t>
      </w:r>
    </w:p>
    <w:p>
      <w:pPr>
        <w:spacing w:line="260" w:lineRule="auto"/>
        <w:rPr>
          <w:rFonts w:eastAsia="MingLiU"/>
          <w:szCs w:val="24"/>
        </w:rPr>
      </w:pPr>
      <w:r>
        <w:rPr>
          <w:rFonts w:eastAsia="MingLiU"/>
          <w:szCs w:val="24"/>
        </w:rPr>
        <w:br/>
        <w:t>E2S</w:t>
      </w:r>
      <w:r>
        <w:rPr>
          <w:rFonts w:eastAsia="MingLiU" w:hint="eastAsia"/>
          <w:szCs w:val="24"/>
          <w:lang w:val="zh-CN"/>
        </w:rPr>
        <w:t>是世界领先的独立信号产品制造商</w:t>
      </w:r>
      <w:r>
        <w:rPr>
          <w:rFonts w:eastAsia="MingLiU" w:hint="eastAsia"/>
          <w:szCs w:val="24"/>
        </w:rPr>
        <w:t>，</w:t>
      </w:r>
      <w:r>
        <w:rPr>
          <w:rFonts w:eastAsia="MingLiU"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rFonts w:eastAsia="MingLiU"/>
          <w:szCs w:val="24"/>
          <w:lang w:val="en-US"/>
        </w:rPr>
        <w:t>E2S</w:t>
      </w:r>
      <w:r>
        <w:rPr>
          <w:rFonts w:eastAsia="MingLiU" w:hint="eastAsia"/>
          <w:szCs w:val="24"/>
          <w:lang w:val="zh-CN"/>
        </w:rPr>
        <w:t>产品通过销售网络行销全球。经销商详情见公司网站。另外</w:t>
      </w:r>
      <w:r>
        <w:rPr>
          <w:rFonts w:eastAsia="MingLiU" w:hint="eastAsia"/>
          <w:szCs w:val="24"/>
          <w:lang w:val="en-US"/>
        </w:rPr>
        <w:t>，</w:t>
      </w:r>
      <w:r>
        <w:rPr>
          <w:rFonts w:eastAsia="MingLiU"/>
          <w:szCs w:val="24"/>
          <w:lang w:val="en-US"/>
        </w:rPr>
        <w:t>E2S</w:t>
      </w:r>
      <w:r>
        <w:rPr>
          <w:rFonts w:eastAsia="MingLiU" w:hint="eastAsia"/>
          <w:szCs w:val="24"/>
          <w:lang w:val="zh-CN"/>
        </w:rPr>
        <w:t>在得克萨斯州休斯敦设有专门的经销中心</w:t>
      </w:r>
      <w:r>
        <w:rPr>
          <w:rFonts w:eastAsia="MingLiU" w:hint="eastAsia"/>
          <w:szCs w:val="24"/>
          <w:lang w:val="en-US"/>
        </w:rPr>
        <w:t>，</w:t>
      </w:r>
      <w:r>
        <w:rPr>
          <w:rFonts w:eastAsia="MingLiU" w:hint="eastAsia"/>
          <w:szCs w:val="24"/>
          <w:lang w:val="zh-CN"/>
        </w:rPr>
        <w:t>负责当地产品经销和技术支持。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E2S Warning Signals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Impress House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Mansell Road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London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W3 7QH</w:t>
      </w:r>
    </w:p>
    <w:p>
      <w:pPr>
        <w:rPr>
          <w:rFonts w:eastAsia="MingLiU"/>
          <w:szCs w:val="24"/>
        </w:rPr>
      </w:pPr>
      <w:r>
        <w:rPr>
          <w:rFonts w:eastAsia="MingLiU"/>
          <w:noProof/>
          <w:szCs w:val="24"/>
        </w:rPr>
        <w:t>Great Britain</w:t>
      </w:r>
    </w:p>
    <w:p>
      <w:pPr>
        <w:spacing w:line="260" w:lineRule="auto"/>
        <w:rPr>
          <w:rFonts w:eastAsia="MingLiU"/>
          <w:szCs w:val="24"/>
        </w:rPr>
      </w:pPr>
      <w:r>
        <w:rPr>
          <w:rFonts w:eastAsia="MingLiU" w:hint="eastAsia"/>
          <w:szCs w:val="24"/>
          <w:lang w:val="zh-CN"/>
        </w:rPr>
        <w:t>电话：</w:t>
      </w:r>
      <w:r>
        <w:rPr>
          <w:rFonts w:eastAsia="MingLiU"/>
          <w:szCs w:val="24"/>
        </w:rPr>
        <w:t xml:space="preserve"> + 44 (0)20 8743 8880</w:t>
      </w:r>
    </w:p>
    <w:p>
      <w:pPr>
        <w:spacing w:line="260" w:lineRule="auto"/>
        <w:rPr>
          <w:rFonts w:eastAsia="MingLiU"/>
          <w:szCs w:val="24"/>
        </w:rPr>
      </w:pPr>
      <w:r>
        <w:rPr>
          <w:rFonts w:eastAsia="MingLiU" w:hint="eastAsia"/>
          <w:szCs w:val="24"/>
          <w:lang w:val="zh-CN"/>
        </w:rPr>
        <w:t>传真：</w:t>
      </w:r>
      <w:r>
        <w:rPr>
          <w:rFonts w:eastAsia="MingLiU"/>
          <w:szCs w:val="24"/>
        </w:rPr>
        <w:t xml:space="preserve"> + 44 (0)20 8740 4200</w:t>
      </w:r>
    </w:p>
    <w:p>
      <w:pPr>
        <w:rPr>
          <w:rFonts w:eastAsia="MingLiU"/>
          <w:szCs w:val="24"/>
        </w:rPr>
      </w:pPr>
      <w:hyperlink r:id="rId19" w:history="1">
        <w:r>
          <w:rPr>
            <w:rStyle w:val="Hyperlink"/>
            <w:rFonts w:eastAsia="MingLiU" w:cs="Calibri"/>
            <w:noProof/>
            <w:szCs w:val="24"/>
          </w:rPr>
          <w:t>sales@e2s.com</w:t>
        </w:r>
      </w:hyperlink>
      <w:r>
        <w:rPr>
          <w:rFonts w:eastAsia="MingLiU"/>
          <w:noProof/>
          <w:szCs w:val="24"/>
        </w:rPr>
        <w:t xml:space="preserve"> </w:t>
      </w:r>
    </w:p>
    <w:p>
      <w:pPr>
        <w:tabs>
          <w:tab w:val="left" w:pos="851"/>
          <w:tab w:val="right" w:pos="9072"/>
        </w:tabs>
        <w:rPr>
          <w:rFonts w:eastAsia="MingLiU"/>
          <w:szCs w:val="24"/>
        </w:rPr>
      </w:pPr>
      <w:hyperlink r:id="rId20" w:history="1">
        <w:r>
          <w:rPr>
            <w:rStyle w:val="Hyperlink"/>
            <w:rFonts w:eastAsia="MingLiU"/>
            <w:noProof/>
            <w:szCs w:val="24"/>
          </w:rPr>
          <w:t>e2s.com</w:t>
        </w:r>
      </w:hyperlink>
    </w:p>
    <w:p>
      <w:pPr>
        <w:rPr>
          <w:rFonts w:eastAsia="MingLiU"/>
        </w:rPr>
      </w:pPr>
    </w:p>
    <w:p>
      <w:pPr>
        <w:tabs>
          <w:tab w:val="left" w:pos="851"/>
          <w:tab w:val="right" w:pos="9072"/>
        </w:tabs>
        <w:spacing w:line="280" w:lineRule="exact"/>
        <w:rPr>
          <w:rFonts w:asciiTheme="majorHAnsi" w:eastAsia="MingLiU" w:hAnsiTheme="majorHAnsi" w:cstheme="majorHAnsi"/>
          <w:szCs w:val="22"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intPostScriptOverText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SimSun" w:hAnsi="Times New Roman"/>
      <w:snapToGrid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" TargetMode="External"/><Relationship Id="rId13" Type="http://schemas.openxmlformats.org/officeDocument/2006/relationships/hyperlink" Target="https://www.e2s.com/product/13453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arkfield.co.uk/e2s/m-series-upgrade-cn.docx" TargetMode="External"/><Relationship Id="rId12" Type="http://schemas.openxmlformats.org/officeDocument/2006/relationships/hyperlink" Target="https://www.e2s.com/product/13452" TargetMode="External"/><Relationship Id="rId17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2s.com/product/13383" TargetMode="External"/><Relationship Id="rId20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m-series-upgrade-print.jpg" TargetMode="External"/><Relationship Id="rId11" Type="http://schemas.openxmlformats.org/officeDocument/2006/relationships/hyperlink" Target="https://www.e2s.com/product/134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2s.com/product/13387" TargetMode="External"/><Relationship Id="rId10" Type="http://schemas.openxmlformats.org/officeDocument/2006/relationships/hyperlink" Target="https://www.e2s.com/product/13451" TargetMode="External"/><Relationship Id="rId19" Type="http://schemas.openxmlformats.org/officeDocument/2006/relationships/hyperlink" Target="mailto:sales@e2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/13450" TargetMode="External"/><Relationship Id="rId14" Type="http://schemas.openxmlformats.org/officeDocument/2006/relationships/hyperlink" Target="https://www.e2s.com/product/134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2021-04-19T10:14:00Z</dcterms:created>
  <dcterms:modified xsi:type="dcterms:W3CDTF">2021-04-19T10:15:00Z</dcterms:modified>
</cp:coreProperties>
</file>