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widowControl/>
        <w:tabs>
          <w:tab w:val="left" w:pos="851"/>
          <w:tab w:val="right" w:pos="9072"/>
        </w:tabs>
        <w:spacing w:after="160" w:line="259" w:lineRule="auto"/>
        <w:rPr>
          <w:rFonts w:eastAsia="Calibri" w:cs="Calibri"/>
          <w:b/>
          <w:snapToGrid/>
          <w:szCs w:val="22"/>
          <w:lang w:val="de-DE" w:eastAsia="en-US"/>
        </w:rPr>
      </w:pPr>
      <w:r>
        <w:rPr>
          <w:rFonts w:eastAsia="Calibri" w:cs="Calibri"/>
          <w:snapToGrid/>
          <w:szCs w:val="22"/>
          <w:lang w:val="de-DE" w:eastAsia="en-US"/>
        </w:rPr>
        <w:t>Veröffentlicht am 19. April 2021</w:t>
      </w: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 gehen</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Sie zu </w:t>
      </w:r>
      <w:hyperlink r:id="rId6" w:history="1">
        <w:r>
          <w:rPr>
            <w:rStyle w:val="Hyperlink"/>
            <w:rFonts w:asciiTheme="minorHAnsi" w:hAnsiTheme="minorHAnsi" w:cstheme="minorHAnsi"/>
            <w:b w:val="0"/>
            <w:bCs w:val="0"/>
            <w:szCs w:val="22"/>
            <w:lang w:val="de-DE"/>
          </w:rPr>
          <w:t>parkfield.co.uk/e2s/m-series-upgrade-print.jpg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7" w:history="1">
        <w:r>
          <w:rPr>
            <w:rStyle w:val="Hyperlink"/>
            <w:rFonts w:cstheme="minorHAnsi"/>
            <w:szCs w:val="22"/>
            <w:lang w:val="de-DE"/>
          </w:rPr>
          <w:t>parkfield.co.uk/e2s/m-series-upgrade-de.docx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8" w:history="1">
        <w:r>
          <w:rPr>
            <w:rStyle w:val="Hyperlink"/>
            <w:rFonts w:asciiTheme="minorHAnsi" w:hAnsiTheme="minorHAnsi" w:cstheme="minorHAnsi"/>
            <w:b w:val="0"/>
            <w:szCs w:val="22"/>
            <w:lang w:val="de-DE"/>
          </w:rPr>
          <w:t>parkfield.co.uk/e2s/</w:t>
        </w:r>
      </w:hyperlink>
    </w:p>
    <w:p>
      <w:pPr>
        <w:tabs>
          <w:tab w:val="left" w:pos="851"/>
          <w:tab w:val="right" w:pos="9072"/>
        </w:tabs>
        <w:rPr>
          <w:lang w:val="de-DE"/>
        </w:rPr>
      </w:pPr>
      <w:r>
        <w:rPr>
          <w:rFonts w:cs="Arial"/>
          <w:b/>
          <w:lang w:val="de-DE" w:eastAsia="en-GB"/>
        </w:rPr>
        <w:br/>
      </w:r>
      <w:r>
        <w:rPr>
          <w:rFonts w:asciiTheme="minorHAnsi" w:eastAsia="Times New Roman" w:hAnsiTheme="minorHAnsi" w:cstheme="minorHAnsi"/>
          <w:b/>
          <w:bCs/>
          <w:snapToGrid/>
          <w:szCs w:val="22"/>
          <w:lang w:val="de-DE"/>
        </w:rPr>
        <w:t xml:space="preserve">E2S verbessert Alarmgeber der M-Serie in Gehäusen mit Schutzarten IP66/67 Type 4/4X/13 </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r>
        <w:rPr>
          <w:rFonts w:asciiTheme="minorHAnsi" w:eastAsia="Times New Roman" w:hAnsiTheme="minorHAnsi" w:cstheme="minorHAnsi"/>
          <w:snapToGrid/>
          <w:szCs w:val="22"/>
          <w:lang w:val="de-DE"/>
        </w:rPr>
        <w:t xml:space="preserve">E2S Warning Signals, der weltweit führende Hersteller von akustischen und optischen Meldevorrichtungen, stellt die nächste Generation seiner Alarmgeber der M-Serie für industrielle Anwendungen vor. Die beiden neuen Produkte, </w:t>
      </w:r>
      <w:hyperlink r:id="rId9" w:history="1">
        <w:r>
          <w:rPr>
            <w:rFonts w:asciiTheme="minorHAnsi" w:eastAsia="Times New Roman" w:hAnsiTheme="minorHAnsi" w:cstheme="minorHAnsi"/>
            <w:snapToGrid/>
            <w:color w:val="0000FF"/>
            <w:szCs w:val="22"/>
            <w:u w:val="single"/>
            <w:lang w:val="de-DE"/>
          </w:rPr>
          <w:t>MA1F</w:t>
        </w:r>
      </w:hyperlink>
      <w:r>
        <w:rPr>
          <w:rFonts w:asciiTheme="minorHAnsi" w:eastAsia="Times New Roman" w:hAnsiTheme="minorHAnsi" w:cstheme="minorHAnsi"/>
          <w:snapToGrid/>
          <w:szCs w:val="22"/>
          <w:lang w:val="de-DE"/>
        </w:rPr>
        <w:t xml:space="preserve"> und </w:t>
      </w:r>
      <w:hyperlink r:id="rId10" w:history="1">
        <w:r>
          <w:rPr>
            <w:rFonts w:asciiTheme="minorHAnsi" w:eastAsia="Times New Roman" w:hAnsiTheme="minorHAnsi" w:cstheme="minorHAnsi"/>
            <w:snapToGrid/>
            <w:color w:val="0000FF"/>
            <w:szCs w:val="22"/>
            <w:u w:val="single"/>
            <w:lang w:val="de-DE"/>
          </w:rPr>
          <w:t>MA2F</w:t>
        </w:r>
      </w:hyperlink>
      <w:r>
        <w:rPr>
          <w:rFonts w:asciiTheme="minorHAnsi" w:eastAsia="Times New Roman" w:hAnsiTheme="minorHAnsi" w:cstheme="minorHAnsi"/>
          <w:snapToGrid/>
          <w:szCs w:val="22"/>
          <w:lang w:val="de-DE"/>
        </w:rPr>
        <w:t>, weisen das gleiche Gehäuse und die gleiche Montageweise auf wie ihre Vorgängerversionen MA112 und MA121, doch ihre Elektronik wurde durch den Einsatz moderner Class-D-Verstärkertechnologie verbessert. Zu den Vorteilen der neuen Alarmgeber zählen ein geringerer Einschaltstrom, ein größerer Spannungsbereich, ein geringerer Stromverbrauch und eine verbesserte Auswahl und Steuerung des Alarmtons.</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hyperlink r:id="rId11" w:history="1">
        <w:r>
          <w:rPr>
            <w:rFonts w:asciiTheme="minorHAnsi" w:eastAsia="Times New Roman" w:hAnsiTheme="minorHAnsi" w:cstheme="minorHAnsi"/>
            <w:snapToGrid/>
            <w:color w:val="0000FF"/>
            <w:szCs w:val="22"/>
            <w:u w:val="single"/>
            <w:lang w:val="de-DE"/>
          </w:rPr>
          <w:t>MA1F</w:t>
        </w:r>
      </w:hyperlink>
      <w:r>
        <w:rPr>
          <w:rFonts w:asciiTheme="minorHAnsi" w:eastAsia="Times New Roman" w:hAnsiTheme="minorHAnsi" w:cstheme="minorHAnsi"/>
          <w:snapToGrid/>
          <w:szCs w:val="22"/>
          <w:lang w:val="de-DE"/>
        </w:rPr>
        <w:t xml:space="preserve"> verwendet ein standardmäßiges direktionales Signalhorn, während </w:t>
      </w:r>
      <w:hyperlink r:id="rId12" w:history="1">
        <w:r>
          <w:rPr>
            <w:rFonts w:asciiTheme="minorHAnsi" w:eastAsia="Times New Roman" w:hAnsiTheme="minorHAnsi" w:cstheme="minorHAnsi"/>
            <w:snapToGrid/>
            <w:color w:val="0000FF"/>
            <w:szCs w:val="22"/>
            <w:u w:val="single"/>
            <w:lang w:val="de-DE"/>
          </w:rPr>
          <w:t>MA1R</w:t>
        </w:r>
      </w:hyperlink>
      <w:r>
        <w:rPr>
          <w:rFonts w:asciiTheme="minorHAnsi" w:eastAsia="Times New Roman" w:hAnsiTheme="minorHAnsi" w:cstheme="minorHAnsi"/>
          <w:snapToGrid/>
          <w:szCs w:val="22"/>
          <w:lang w:val="de-DE"/>
        </w:rPr>
        <w:t xml:space="preserve"> über das innovative omnidirektionale Signalhorn E2S „1R“ verfügt, das sich besonders für Anwendungen eignet, die eine kompakte Vorrichtung erfordern. </w:t>
      </w:r>
      <w:hyperlink r:id="rId13" w:history="1">
        <w:r>
          <w:rPr>
            <w:rFonts w:asciiTheme="minorHAnsi" w:eastAsia="Times New Roman" w:hAnsiTheme="minorHAnsi" w:cstheme="minorHAnsi"/>
            <w:snapToGrid/>
            <w:color w:val="0000FF"/>
            <w:szCs w:val="22"/>
            <w:u w:val="single"/>
            <w:lang w:val="de-DE"/>
          </w:rPr>
          <w:t>MA2H</w:t>
        </w:r>
      </w:hyperlink>
      <w:r>
        <w:rPr>
          <w:rFonts w:asciiTheme="minorHAnsi" w:eastAsia="Times New Roman" w:hAnsiTheme="minorHAnsi" w:cstheme="minorHAnsi"/>
          <w:snapToGrid/>
          <w:szCs w:val="22"/>
          <w:lang w:val="de-DE"/>
        </w:rPr>
        <w:t xml:space="preserve"> verfügt über das neue E2S „2H“ Signalhorn mit besonders hoher Schallleistung, das entwickelt wurde, um die hörbare Signalleistung über einen breiten Frequenzbereich bei einem Schallpegel von bis zu 130 dB(A) zu maximieren. Vollständige technische Angaben finden Sie </w:t>
      </w:r>
      <w:hyperlink r:id="rId14" w:history="1">
        <w:r>
          <w:rPr>
            <w:rFonts w:asciiTheme="minorHAnsi" w:eastAsia="Times New Roman" w:hAnsiTheme="minorHAnsi" w:cstheme="minorHAnsi"/>
            <w:snapToGrid/>
            <w:color w:val="0000FF"/>
            <w:szCs w:val="22"/>
            <w:u w:val="single"/>
            <w:lang w:val="de-DE"/>
          </w:rPr>
          <w:t>hier</w:t>
        </w:r>
      </w:hyperlink>
      <w:r>
        <w:rPr>
          <w:rFonts w:asciiTheme="minorHAnsi" w:eastAsia="Times New Roman" w:hAnsiTheme="minorHAnsi" w:cstheme="minorHAnsi"/>
          <w:snapToGrid/>
          <w:szCs w:val="22"/>
          <w:lang w:val="de-DE"/>
        </w:rPr>
        <w:t xml:space="preserve">. </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r>
        <w:rPr>
          <w:rFonts w:asciiTheme="minorHAnsi" w:eastAsia="Times New Roman" w:hAnsiTheme="minorHAnsi" w:cstheme="minorHAnsi"/>
          <w:snapToGrid/>
          <w:szCs w:val="22"/>
          <w:lang w:val="de-DE"/>
        </w:rPr>
        <w:t>Der DC-Bereich der Warnsignalgeber wurde von 10 auf 60 V Gleichspannung erweitert. Die AC-Versionen verfügen über ein Universalnetzteil, das Eingangsspannungen von 100 bis 240 V AC aufnimmt. DC-Versionen für höhere Spannungen sind auf Anfrage erhältlich. Die MA1-Versionen sind werkseitig auf eine geringe Stromaufnahme von nur 224 mA bei 24 V Gleichspannung mit einer Schallleistung von 117 dB(A) eingestellt. Die MA2-Versionen verfügen über zwei vom Benutzer wählbare Leistungsmodi, die eine optimale Kombination aus Stromverbrauch und Schallleistung bieten: 391 mA und 126 dB(A) bis 888 mA und 130 dB(A).</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r>
        <w:rPr>
          <w:rFonts w:asciiTheme="minorHAnsi" w:eastAsia="Times New Roman" w:hAnsiTheme="minorHAnsi" w:cstheme="minorHAnsi"/>
          <w:snapToGrid/>
          <w:szCs w:val="22"/>
          <w:lang w:val="de-DE"/>
        </w:rPr>
        <w:t xml:space="preserve">Vier aus der Ferne wählbare Alarmstufen/-kanäle gehören zur Standardausstattung und können durch eine Vielzahl von Methoden aktiviert werden. 64 Alarmton-Frequenzen können unabhängig voneinander entweder als erste oder zweite Stufe eingestellt werden. Die Installation wird durch steckbare, doppelt ausgeführte Kabelanschlüsse vereinfacht. </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r>
        <w:rPr>
          <w:rFonts w:asciiTheme="minorHAnsi" w:eastAsia="Times New Roman" w:hAnsiTheme="minorHAnsi" w:cstheme="minorHAnsi"/>
          <w:snapToGrid/>
          <w:szCs w:val="22"/>
          <w:lang w:val="de-DE"/>
        </w:rPr>
        <w:t xml:space="preserve">Kombinierte akustische/visuelle Geräte profitieren von Alarmelektronik der nächsten Generation –  </w:t>
      </w:r>
      <w:hyperlink r:id="rId15" w:history="1">
        <w:r>
          <w:rPr>
            <w:rFonts w:asciiTheme="minorHAnsi" w:eastAsia="Times New Roman" w:hAnsiTheme="minorHAnsi" w:cstheme="minorHAnsi"/>
            <w:snapToGrid/>
            <w:color w:val="0000FF"/>
            <w:szCs w:val="22"/>
            <w:u w:val="single"/>
            <w:lang w:val="de-DE"/>
          </w:rPr>
          <w:t>MC1X05</w:t>
        </w:r>
      </w:hyperlink>
      <w:r>
        <w:rPr>
          <w:rFonts w:asciiTheme="minorHAnsi" w:eastAsia="Times New Roman" w:hAnsiTheme="minorHAnsi" w:cstheme="minorHAnsi"/>
          <w:snapToGrid/>
          <w:szCs w:val="22"/>
          <w:lang w:val="de-DE"/>
        </w:rPr>
        <w:t xml:space="preserve"> mit Xenon-Stroboskopleuchte und </w:t>
      </w:r>
      <w:hyperlink r:id="rId16" w:history="1">
        <w:r>
          <w:rPr>
            <w:rFonts w:asciiTheme="minorHAnsi" w:eastAsia="Times New Roman" w:hAnsiTheme="minorHAnsi" w:cstheme="minorHAnsi"/>
            <w:snapToGrid/>
            <w:color w:val="0000FF"/>
            <w:szCs w:val="22"/>
            <w:u w:val="single"/>
            <w:lang w:val="de-DE"/>
          </w:rPr>
          <w:t>MC1LD2</w:t>
        </w:r>
      </w:hyperlink>
      <w:r>
        <w:rPr>
          <w:rFonts w:asciiTheme="minorHAnsi" w:eastAsia="Times New Roman" w:hAnsiTheme="minorHAnsi" w:cstheme="minorHAnsi"/>
          <w:snapToGrid/>
          <w:szCs w:val="22"/>
          <w:lang w:val="de-DE"/>
        </w:rPr>
        <w:t xml:space="preserve"> mit Hochleistungs-LED. </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r>
        <w:rPr>
          <w:rFonts w:asciiTheme="minorHAnsi" w:eastAsia="Times New Roman" w:hAnsiTheme="minorHAnsi" w:cstheme="minorHAnsi"/>
          <w:snapToGrid/>
          <w:szCs w:val="22"/>
          <w:lang w:val="de-DE"/>
        </w:rPr>
        <w:t>Alle Geräte verfügen über robuste, thermoplastische, feuerhemmende Gehäuse mit Montagehalterungen aus Edelstahl 316 (A4) – ideal für Anwendungen in rauen Umgebungen, in denen die Schutzarten 4/4X/13/3R IP66/67 erforderlich sind.</w:t>
      </w: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p>
    <w:p>
      <w:pPr>
        <w:widowControl/>
        <w:spacing w:line="280" w:lineRule="exact"/>
        <w:rPr>
          <w:rFonts w:asciiTheme="minorHAnsi" w:eastAsia="Times New Roman" w:hAnsiTheme="minorHAnsi" w:cstheme="minorHAnsi"/>
          <w:snapToGrid/>
          <w:szCs w:val="22"/>
          <w:lang w:val="de-DE"/>
        </w:rPr>
      </w:pPr>
      <w:r>
        <w:rPr>
          <w:rFonts w:asciiTheme="minorHAnsi" w:eastAsia="Times New Roman" w:hAnsiTheme="minorHAnsi" w:cstheme="minorHAnsi"/>
          <w:snapToGrid/>
          <w:szCs w:val="22"/>
          <w:lang w:val="de-DE"/>
        </w:rPr>
        <w:lastRenderedPageBreak/>
        <w:t>*** Ende: Haupttext 317 Wörter ***</w:t>
      </w:r>
    </w:p>
    <w:p>
      <w:pPr>
        <w:widowControl/>
        <w:spacing w:line="280" w:lineRule="exact"/>
        <w:rPr>
          <w:rFonts w:asciiTheme="minorHAnsi" w:eastAsia="Times New Roman" w:hAnsiTheme="minorHAnsi" w:cstheme="minorHAnsi"/>
          <w:snapToGrid/>
          <w:szCs w:val="22"/>
          <w:lang w:val="de-DE"/>
        </w:rPr>
      </w:pPr>
    </w:p>
    <w:p>
      <w:pPr>
        <w:rPr>
          <w:rFonts w:cs="Arial"/>
          <w:b/>
          <w:lang w:val="de-DE" w:eastAsia="en-GB"/>
        </w:rPr>
      </w:pPr>
      <w:r>
        <w:rPr>
          <w:rFonts w:cs="Arial"/>
          <w:b/>
          <w:lang w:val="de-DE" w:eastAsia="en-GB"/>
        </w:rPr>
        <w:t>Hinweise an die Redaktion:</w:t>
      </w:r>
    </w:p>
    <w:p>
      <w:pPr>
        <w:rPr>
          <w:rFonts w:cs="Arial"/>
          <w:lang w:val="de-DE" w:eastAsia="en-GB"/>
        </w:rPr>
      </w:pPr>
    </w:p>
    <w:p>
      <w:pPr>
        <w:rPr>
          <w:rFonts w:cs="Arial"/>
          <w:lang w:val="de-DE" w:eastAsia="en-GB"/>
        </w:rPr>
      </w:pPr>
      <w:r>
        <w:rPr>
          <w:rFonts w:cs="Arial"/>
          <w:lang w:val="de-DE" w:eastAsia="en-GB"/>
        </w:rPr>
        <w:t>Im Falle weiterer Rückfragen kontaktieren Sie bitte:</w:t>
      </w:r>
    </w:p>
    <w:p>
      <w:pPr>
        <w:rPr>
          <w:rFonts w:cs="Arial"/>
          <w:lang w:eastAsia="en-GB"/>
        </w:rPr>
      </w:pPr>
      <w:r>
        <w:rPr>
          <w:rFonts w:cs="Arial"/>
          <w:lang w:eastAsia="en-GB"/>
        </w:rPr>
        <w:t>Nigel May</w:t>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val="de-DE" w:eastAsia="en-GB"/>
        </w:rPr>
      </w:pPr>
      <w:r>
        <w:rPr>
          <w:rFonts w:cs="Arial"/>
          <w:lang w:val="de-DE" w:eastAsia="en-GB"/>
        </w:rPr>
        <w:t>Damerham</w:t>
      </w:r>
    </w:p>
    <w:p>
      <w:pPr>
        <w:rPr>
          <w:rFonts w:cs="Arial"/>
          <w:lang w:val="de-DE" w:eastAsia="en-GB"/>
        </w:rPr>
      </w:pPr>
      <w:r>
        <w:rPr>
          <w:rFonts w:cs="Arial"/>
          <w:lang w:val="de-DE" w:eastAsia="en-GB"/>
        </w:rPr>
        <w:t>SP6 3HQ</w:t>
      </w:r>
    </w:p>
    <w:p>
      <w:pPr>
        <w:rPr>
          <w:rFonts w:cs="Arial"/>
          <w:lang w:val="de-DE" w:eastAsia="en-GB"/>
        </w:rPr>
      </w:pPr>
      <w:r>
        <w:rPr>
          <w:rFonts w:cs="Arial"/>
          <w:lang w:val="de-DE" w:eastAsia="en-GB"/>
        </w:rPr>
        <w:t>Großbritannien</w:t>
      </w:r>
    </w:p>
    <w:p>
      <w:pPr>
        <w:rPr>
          <w:rFonts w:cs="Arial"/>
          <w:lang w:val="de-DE" w:eastAsia="en-GB"/>
        </w:rPr>
      </w:pPr>
      <w:r>
        <w:rPr>
          <w:rFonts w:cs="Arial"/>
          <w:lang w:val="de-DE" w:eastAsia="en-GB"/>
        </w:rPr>
        <w:t>Tel: + 44 (0)1725 518321</w:t>
      </w:r>
    </w:p>
    <w:p>
      <w:pPr>
        <w:rPr>
          <w:rFonts w:cs="Arial"/>
          <w:lang w:eastAsia="en-GB"/>
        </w:rPr>
      </w:pPr>
      <w:hyperlink r:id="rId17"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8" w:history="1">
        <w:r>
          <w:rPr>
            <w:rStyle w:val="Hyperlink"/>
            <w:rFonts w:cs="Arial"/>
            <w:lang w:eastAsia="en-GB"/>
          </w:rPr>
          <w:t>parkfield.co.uk</w:t>
        </w:r>
      </w:hyperlink>
      <w:r>
        <w:rPr>
          <w:rFonts w:cs="Arial"/>
          <w:lang w:eastAsia="en-GB"/>
        </w:rPr>
        <w:t xml:space="preserve"> </w:t>
      </w:r>
    </w:p>
    <w:p>
      <w:pPr>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rPr>
          <w:rFonts w:cs="Arial"/>
          <w:lang w:val="de-DE"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val="de-DE" w:eastAsia="en-GB"/>
        </w:rPr>
      </w:pPr>
      <w:r>
        <w:rPr>
          <w:rFonts w:cs="Arial"/>
          <w:lang w:val="de-DE" w:eastAsia="en-GB"/>
        </w:rPr>
        <w:t>London</w:t>
      </w:r>
    </w:p>
    <w:p>
      <w:pPr>
        <w:rPr>
          <w:rFonts w:cs="Arial"/>
          <w:lang w:val="de-DE" w:eastAsia="en-GB"/>
        </w:rPr>
      </w:pPr>
      <w:r>
        <w:rPr>
          <w:rFonts w:cs="Arial"/>
          <w:lang w:val="de-DE" w:eastAsia="en-GB"/>
        </w:rPr>
        <w:t>W3 7QH</w:t>
      </w:r>
    </w:p>
    <w:p>
      <w:pPr>
        <w:rPr>
          <w:rFonts w:cs="Arial"/>
          <w:lang w:val="de-DE" w:eastAsia="en-GB"/>
        </w:rPr>
      </w:pPr>
      <w:r>
        <w:rPr>
          <w:rFonts w:cs="Arial"/>
          <w:lang w:val="de-DE" w:eastAsia="en-GB"/>
        </w:rPr>
        <w:t>Großbritannien</w:t>
      </w:r>
    </w:p>
    <w:p>
      <w:pPr>
        <w:rPr>
          <w:rFonts w:cs="Arial"/>
          <w:lang w:val="de-DE" w:eastAsia="en-GB"/>
        </w:rPr>
      </w:pPr>
      <w:r>
        <w:rPr>
          <w:rFonts w:cs="Arial"/>
          <w:lang w:val="de-DE"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19"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20" w:history="1">
        <w:r>
          <w:rPr>
            <w:rStyle w:val="Hyperlink"/>
            <w:rFonts w:cs="Arial"/>
            <w:lang w:val="pt-BR" w:eastAsia="en-GB"/>
          </w:rPr>
          <w:t>e2s.com</w:t>
        </w:r>
      </w:hyperlink>
    </w:p>
    <w:p>
      <w:pPr>
        <w:tabs>
          <w:tab w:val="left" w:pos="851"/>
          <w:tab w:val="right" w:pos="9072"/>
        </w:tabs>
        <w:rPr>
          <w:lang w:val="pt-BR"/>
        </w:rPr>
      </w:pPr>
    </w:p>
    <w:p>
      <w:pPr>
        <w:widowControl/>
        <w:spacing w:line="280" w:lineRule="exact"/>
        <w:rPr>
          <w:rFonts w:asciiTheme="minorHAnsi" w:eastAsia="Times New Roman" w:hAnsiTheme="minorHAnsi" w:cstheme="minorHAnsi"/>
          <w:snapToGrid/>
          <w:szCs w:val="22"/>
          <w:lang w:val="pt-BR"/>
        </w:rPr>
      </w:pPr>
    </w:p>
    <w:p>
      <w:pPr>
        <w:tabs>
          <w:tab w:val="left" w:pos="851"/>
          <w:tab w:val="right" w:pos="9072"/>
        </w:tabs>
        <w:spacing w:line="280" w:lineRule="exact"/>
        <w:rPr>
          <w:rFonts w:asciiTheme="minorHAnsi" w:hAnsiTheme="minorHAnsi" w:cstheme="minorHAnsi"/>
          <w:szCs w:val="22"/>
          <w:lang w:val="pt-BR"/>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snapToGrid/>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szCs w:val="21"/>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pPr>
      <w:widowControl/>
    </w:pPr>
    <w:rPr>
      <w:szCs w:val="21"/>
    </w:rPr>
  </w:style>
  <w:style w:type="character" w:customStyle="1" w:styleId="PlainTextChar1">
    <w:name w:val="Plain Text Char1"/>
    <w:basedOn w:val="DefaultParagraphFon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994">
      <w:bodyDiv w:val="1"/>
      <w:marLeft w:val="0"/>
      <w:marRight w:val="0"/>
      <w:marTop w:val="0"/>
      <w:marBottom w:val="0"/>
      <w:divBdr>
        <w:top w:val="none" w:sz="0" w:space="0" w:color="auto"/>
        <w:left w:val="none" w:sz="0" w:space="0" w:color="auto"/>
        <w:bottom w:val="none" w:sz="0" w:space="0" w:color="auto"/>
        <w:right w:val="none" w:sz="0" w:space="0" w:color="auto"/>
      </w:divBdr>
      <w:divsChild>
        <w:div w:id="144823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s://www.e2s.com/product/13453"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parkfield.co.uk/e2s/m-series-upgrade-de.docx" TargetMode="External"/><Relationship Id="rId12" Type="http://schemas.openxmlformats.org/officeDocument/2006/relationships/hyperlink" Target="https://www.e2s.com/product/13452"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s://www.e2s.com/product/13383" TargetMode="External"/><Relationship Id="rId20"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hyperlink" Target="https://www.parkfield.co.uk/e2s/m-series-upgrade-print.jpg" TargetMode="External"/><Relationship Id="rId11" Type="http://schemas.openxmlformats.org/officeDocument/2006/relationships/hyperlink" Target="https://www.e2s.com/product/13450" TargetMode="External"/><Relationship Id="rId5" Type="http://schemas.openxmlformats.org/officeDocument/2006/relationships/endnotes" Target="endnotes.xml"/><Relationship Id="rId15" Type="http://schemas.openxmlformats.org/officeDocument/2006/relationships/hyperlink" Target="https://www.e2s.com/product/13387" TargetMode="External"/><Relationship Id="rId10" Type="http://schemas.openxmlformats.org/officeDocument/2006/relationships/hyperlink" Target="https://www.e2s.com/product/13451" TargetMode="External"/><Relationship Id="rId19" Type="http://schemas.openxmlformats.org/officeDocument/2006/relationships/hyperlink" Target="mailto:sales@e2s.com" TargetMode="External"/><Relationship Id="rId4" Type="http://schemas.openxmlformats.org/officeDocument/2006/relationships/footnotes" Target="footnotes.xml"/><Relationship Id="rId9" Type="http://schemas.openxmlformats.org/officeDocument/2006/relationships/hyperlink" Target="https://www.e2s.com/product/13450" TargetMode="External"/><Relationship Id="rId14" Type="http://schemas.openxmlformats.org/officeDocument/2006/relationships/hyperlink" Target="https://www.e2s.com/product/134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2021-04-16T11:53:00Z</dcterms:created>
  <dcterms:modified xsi:type="dcterms:W3CDTF">2021-04-16T11:54:00Z</dcterms:modified>
</cp:coreProperties>
</file>