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spacing w:after="0" w:line="240" w:lineRule="auto"/>
        <w:rPr>
          <w:rFonts w:cs="Arial"/>
          <w:color w:val="C00000"/>
          <w:sz w:val="52"/>
          <w:szCs w:val="52"/>
          <w:lang w:val="pt-BR"/>
        </w:rPr>
      </w:pPr>
      <w:r>
        <w:rPr>
          <w:rFonts w:cs="Arial"/>
          <w:color w:val="C00000"/>
          <w:sz w:val="52"/>
          <w:szCs w:val="52"/>
          <w:lang w:val="pt-BR" w:eastAsia="en-GB"/>
        </w:rPr>
        <w:t>Informações para a Imprensa</w:t>
      </w:r>
    </w:p>
    <w:p>
      <w:pPr>
        <w:rPr>
          <w:rFonts w:cs="Arial"/>
          <w:lang w:val="pt-BR"/>
        </w:rPr>
      </w:pPr>
      <w:r>
        <w:rPr>
          <w:lang w:val="pt-BR"/>
        </w:rPr>
        <w:t xml:space="preserve">Publicado em </w:t>
      </w:r>
      <w:r>
        <w:rPr>
          <w:rFonts w:cs="Arial"/>
          <w:lang w:val="pt-BR"/>
        </w:rPr>
        <w:t>27 de outubro de 2020</w:t>
      </w:r>
    </w:p>
    <w:p>
      <w:pPr>
        <w:spacing w:after="0" w:line="240" w:lineRule="auto"/>
        <w:rPr>
          <w:rFonts w:cs="Calibri"/>
          <w:color w:val="000000" w:themeColor="text1"/>
          <w:lang w:val="pt-BR" w:eastAsia="en-GB"/>
        </w:rPr>
      </w:pPr>
      <w:r>
        <w:rPr>
          <w:rFonts w:cs="Calibri"/>
          <w:color w:val="000000" w:themeColor="text1"/>
          <w:lang w:val="pt-BR" w:eastAsia="en-GB"/>
        </w:rPr>
        <w:t>Para baixar imagem de qualidade para impressão 300 dpi,</w:t>
      </w:r>
    </w:p>
    <w:p>
      <w:pPr>
        <w:spacing w:after="0" w:line="240" w:lineRule="auto"/>
        <w:rPr>
          <w:rFonts w:cs="Calibri"/>
          <w:color w:val="000000" w:themeColor="text1"/>
          <w:lang w:val="pt-BR" w:eastAsia="en-GB"/>
        </w:rPr>
      </w:pPr>
      <w:r>
        <w:rPr>
          <w:rFonts w:cs="Calibri"/>
          <w:color w:val="000000" w:themeColor="text1"/>
          <w:lang w:val="pt-BR" w:eastAsia="en-GB"/>
        </w:rPr>
        <w:t xml:space="preserve">vá para </w:t>
      </w:r>
      <w:r>
        <w:rPr>
          <w:rStyle w:val="InternetLink"/>
          <w:rFonts w:cs="Calibri"/>
          <w:lang w:val="pt-BR" w:eastAsia="en-GB"/>
        </w:rPr>
        <w:fldChar w:fldCharType="begin"/>
      </w:r>
      <w:r>
        <w:rPr>
          <w:rStyle w:val="InternetLink"/>
          <w:rFonts w:cs="Calibri"/>
          <w:lang w:val="pt-BR" w:eastAsia="en-GB"/>
        </w:rPr>
        <w:instrText>HYPERLINK "https://www.parkfield.co.uk/e2s/mcp-updates-print.jpg"</w:instrText>
      </w:r>
      <w:r>
        <w:rPr>
          <w:rStyle w:val="InternetLink"/>
          <w:rFonts w:cs="Calibri"/>
          <w:lang w:val="pt-BR" w:eastAsia="en-GB"/>
        </w:rPr>
      </w:r>
      <w:r>
        <w:rPr>
          <w:rStyle w:val="InternetLink"/>
          <w:rFonts w:cs="Calibri"/>
          <w:lang w:val="pt-BR" w:eastAsia="en-GB"/>
        </w:rPr>
        <w:fldChar w:fldCharType="separate"/>
      </w:r>
      <w:r>
        <w:rPr>
          <w:rStyle w:val="Hyperlink"/>
          <w:rFonts w:cs="Calibri"/>
          <w:lang w:val="pt-BR" w:eastAsia="en-GB"/>
        </w:rPr>
        <w:t>parkfield.co.uk/e2s/mcp-updates-print.jpg</w:t>
      </w:r>
      <w:r>
        <w:rPr>
          <w:rStyle w:val="InternetLink"/>
          <w:rFonts w:cs="Calibri"/>
          <w:lang w:val="pt-BR" w:eastAsia="en-GB"/>
        </w:rPr>
        <w:fldChar w:fldCharType="end"/>
      </w:r>
      <w:r>
        <w:rPr>
          <w:rFonts w:cs="Calibri"/>
          <w:color w:val="000000" w:themeColor="text1"/>
          <w:lang w:val="pt-BR" w:eastAsia="en-GB"/>
        </w:rPr>
        <w:t xml:space="preserve"> </w:t>
      </w:r>
      <w:r>
        <w:rPr>
          <w:rFonts w:cs="Calibri"/>
          <w:color w:val="000000" w:themeColor="text1"/>
          <w:lang w:val="pt-BR" w:eastAsia="en-GB"/>
        </w:rPr>
        <w:br/>
      </w:r>
    </w:p>
    <w:p>
      <w:pPr>
        <w:spacing w:after="0" w:line="240" w:lineRule="auto"/>
        <w:rPr>
          <w:lang w:val="pt-BR"/>
        </w:rPr>
      </w:pPr>
      <w:r>
        <w:rPr>
          <w:rFonts w:cs="Calibri"/>
          <w:color w:val="000000" w:themeColor="text1"/>
          <w:lang w:val="pt-BR" w:eastAsia="en-GB"/>
        </w:rPr>
        <w:t xml:space="preserve">Para baixar o texto em arquivo Word, vá para </w:t>
      </w:r>
      <w:r>
        <w:rPr>
          <w:rStyle w:val="InternetLink"/>
          <w:rFonts w:cs="Calibri"/>
          <w:lang w:val="pt-BR" w:eastAsia="en-GB"/>
        </w:rPr>
        <w:fldChar w:fldCharType="begin"/>
      </w:r>
      <w:r>
        <w:rPr>
          <w:rStyle w:val="InternetLink"/>
          <w:rFonts w:cs="Calibri"/>
          <w:lang w:val="pt-BR" w:eastAsia="en-GB"/>
        </w:rPr>
        <w:instrText>HYPERLINK "https://www.parkfield.co.uk/e2s/mcp-updates-br.docx"</w:instrText>
      </w:r>
      <w:r>
        <w:rPr>
          <w:rStyle w:val="InternetLink"/>
          <w:rFonts w:cs="Calibri"/>
          <w:lang w:val="pt-BR" w:eastAsia="en-GB"/>
        </w:rPr>
      </w:r>
      <w:r>
        <w:rPr>
          <w:rStyle w:val="InternetLink"/>
          <w:rFonts w:cs="Calibri"/>
          <w:lang w:val="pt-BR" w:eastAsia="en-GB"/>
        </w:rPr>
        <w:fldChar w:fldCharType="separate"/>
      </w:r>
      <w:r>
        <w:rPr>
          <w:rStyle w:val="Hyperlink"/>
          <w:rFonts w:cs="Calibri"/>
          <w:lang w:val="pt-BR" w:eastAsia="en-GB"/>
        </w:rPr>
        <w:t>parkfield.co.uk/e2s/mcp-updates-br.docx</w:t>
      </w:r>
      <w:r>
        <w:rPr>
          <w:rStyle w:val="InternetLink"/>
          <w:rFonts w:cs="Calibri"/>
          <w:lang w:val="pt-BR" w:eastAsia="en-GB"/>
        </w:rPr>
        <w:fldChar w:fldCharType="end"/>
      </w:r>
    </w:p>
    <w:p>
      <w:pPr>
        <w:spacing w:after="0" w:line="240" w:lineRule="auto"/>
        <w:rPr>
          <w:rFonts w:cs="Calibri"/>
          <w:color w:val="000000" w:themeColor="text1"/>
          <w:lang w:val="pt-BR" w:eastAsia="en-GB"/>
        </w:rPr>
      </w:pPr>
    </w:p>
    <w:p>
      <w:pPr>
        <w:spacing w:after="0" w:line="240" w:lineRule="auto"/>
        <w:rPr>
          <w:lang w:val="pt-BR"/>
        </w:rPr>
      </w:pPr>
      <w:r>
        <w:rPr>
          <w:rFonts w:cs="Calibri"/>
          <w:color w:val="000000" w:themeColor="text1"/>
          <w:lang w:val="pt-BR" w:eastAsia="en-GB"/>
        </w:rPr>
        <w:t xml:space="preserve">Para ver todas as informações, acesse </w:t>
      </w:r>
      <w:r>
        <w:rPr>
          <w:rStyle w:val="InternetLink"/>
          <w:lang w:val="pt-BR"/>
        </w:rPr>
        <w:fldChar w:fldCharType="begin"/>
      </w:r>
      <w:r>
        <w:rPr>
          <w:rStyle w:val="InternetLink"/>
          <w:lang w:val="pt-BR"/>
        </w:rPr>
        <w:instrText>HYPERLINK "https://www.parkfield.co.uk/e2s/"</w:instrText>
      </w:r>
      <w:r>
        <w:rPr>
          <w:rStyle w:val="InternetLink"/>
          <w:lang w:val="pt-BR"/>
        </w:rPr>
      </w:r>
      <w:r>
        <w:rPr>
          <w:rStyle w:val="InternetLink"/>
          <w:lang w:val="pt-BR"/>
        </w:rPr>
        <w:fldChar w:fldCharType="separate"/>
      </w:r>
      <w:r>
        <w:rPr>
          <w:rStyle w:val="Hyperlink"/>
          <w:lang w:val="pt-BR"/>
        </w:rPr>
        <w:t>parkfield.co.uk/e2s/</w:t>
      </w:r>
      <w:r>
        <w:rPr>
          <w:rStyle w:val="InternetLink"/>
          <w:lang w:val="pt-BR"/>
        </w:rPr>
        <w:fldChar w:fldCharType="end"/>
      </w:r>
    </w:p>
    <w:p>
      <w:pPr>
        <w:tabs>
          <w:tab w:val="left" w:pos="851"/>
          <w:tab w:val="right" w:pos="9072"/>
        </w:tabs>
        <w:spacing w:after="0" w:line="240" w:lineRule="auto"/>
        <w:rPr>
          <w:lang w:val="pt-BR"/>
        </w:rPr>
      </w:pPr>
    </w:p>
    <w:p>
      <w:pPr>
        <w:widowControl w:val="0"/>
        <w:tabs>
          <w:tab w:val="left" w:pos="851"/>
          <w:tab w:val="right" w:pos="9072"/>
        </w:tabs>
        <w:spacing w:after="0" w:line="240" w:lineRule="auto"/>
        <w:rPr>
          <w:rFonts w:ascii="Calibri" w:eastAsia="SimSun" w:hAnsi="Calibri" w:cs="Times New Roman"/>
          <w:b/>
          <w:snapToGrid w:val="0"/>
          <w:szCs w:val="20"/>
          <w:lang w:val="pt-BR" w:eastAsia="zh-CN"/>
        </w:rPr>
      </w:pPr>
      <w:r>
        <w:rPr>
          <w:rFonts w:ascii="Calibri" w:eastAsia="SimSun" w:hAnsi="Calibri" w:cs="Times New Roman"/>
          <w:b/>
          <w:snapToGrid w:val="0"/>
          <w:szCs w:val="20"/>
          <w:lang w:val="pt-BR" w:eastAsia="zh-CN"/>
        </w:rPr>
        <w:t>A gama mais ampla de MCPs do mundo foi aprimorada – novamente</w:t>
      </w:r>
    </w:p>
    <w:p>
      <w:pPr>
        <w:widowControl w:val="0"/>
        <w:tabs>
          <w:tab w:val="left" w:pos="851"/>
          <w:tab w:val="right" w:pos="9072"/>
        </w:tabs>
        <w:spacing w:after="0" w:line="240" w:lineRule="auto"/>
        <w:jc w:val="center"/>
        <w:rPr>
          <w:rFonts w:ascii="Calibri" w:eastAsia="SimSun" w:hAnsi="Calibri" w:cs="Times New Roman"/>
          <w:b/>
          <w:snapToGrid w:val="0"/>
          <w:szCs w:val="20"/>
          <w:lang w:val="pt-BR" w:eastAsia="zh-CN"/>
        </w:rPr>
      </w:pPr>
    </w:p>
    <w:p>
      <w:pPr>
        <w:widowControl w:val="0"/>
        <w:tabs>
          <w:tab w:val="left" w:pos="851"/>
          <w:tab w:val="right" w:pos="9072"/>
        </w:tabs>
        <w:spacing w:after="0" w:line="240" w:lineRule="auto"/>
        <w:rPr>
          <w:rFonts w:ascii="Calibri" w:eastAsia="SimSun" w:hAnsi="Calibri" w:cs="Times New Roman"/>
          <w:snapToGrid w:val="0"/>
          <w:szCs w:val="20"/>
          <w:lang w:val="pt-BR" w:eastAsia="zh-CN"/>
        </w:rPr>
      </w:pPr>
      <w:r>
        <w:rPr>
          <w:rFonts w:ascii="Calibri" w:eastAsia="SimSun" w:hAnsi="Calibri" w:cs="Times New Roman"/>
          <w:snapToGrid w:val="0"/>
          <w:szCs w:val="20"/>
          <w:lang w:val="pt-BR" w:eastAsia="zh-CN"/>
        </w:rPr>
        <w:t xml:space="preserve">A E2S Warning Signals fabrica uma ampla variedade de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"https://www.e2s.com/products/hazardous-area/type/manual-alarm-call-points"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acionadores manuais, MCPs</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concebidos para instalação em áreas perigosas, principalmente para o controle de sistemas de alarme e detecção de incêndio e gás. O invólucro desses itens está disponível em diferentes materiais: STEx em aço inoxidável 316L para uso nos ambientes mais adversos, GNEx com corpo em PRFV antiestático, resistente à corrosão com filtro UV e BEx em alumínio LM6 (A413) livre de cobre, para uso marítimo e à prova de corrosão com acabamento cromado e revestimento em pó. Os especificadores podem escolher o gabinete mais adequado para o local de instalação e ambiente operacional. Existem quatro opções de mecanismos operacionais. O vidro quebrável tradicional contém uma aba protetora de levantamento para minimizar a operação acidental com uma membrana de segurança, garantindo que nenhum fragmento de vidro seja liberado durante a ativação. Um botão de pressão onde está o mecanismo de operação é novamente protegido por uma aba de elevação com trava e uma ferramenta é necessária para reiniciar a unidade após a operação, além de uma unidade de botão de pressão momentânea e um botão de pressão dupla, que requer que o mecanismo de operação seja rotacionado em 90° e, em seguida, pressionado para ocorrer a ativação. Todas as versões são compatíveis com SIL2 para IEC 61508 (2010). Para reduzir o tempo e o custo da instalação, existem entradas duplas de cabos na parte superior, além de outra na lateral do gabinete. A caixa traseira pode ser rotacionada a 180° para posicionar as entradas na direção desejada. Dois tampões de bloqueio M20, definidos pelo usuário em latão, aço inoxidável ou latão niquelado são fornecidos como padrão. Também são oferecidos adaptadores de ½” e ¾" NPT e M25. </w:t>
      </w:r>
    </w:p>
    <w:p>
      <w:pPr>
        <w:widowControl w:val="0"/>
        <w:tabs>
          <w:tab w:val="left" w:pos="851"/>
          <w:tab w:val="right" w:pos="9072"/>
        </w:tabs>
        <w:spacing w:after="0" w:line="240" w:lineRule="auto"/>
        <w:rPr>
          <w:rFonts w:ascii="Calibri" w:eastAsia="SimSun" w:hAnsi="Calibri" w:cs="Times New Roman"/>
          <w:snapToGrid w:val="0"/>
          <w:szCs w:val="20"/>
          <w:lang w:val="pt-BR" w:eastAsia="zh-CN"/>
        </w:rPr>
      </w:pPr>
    </w:p>
    <w:p>
      <w:pPr>
        <w:widowControl w:val="0"/>
        <w:tabs>
          <w:tab w:val="left" w:pos="851"/>
          <w:tab w:val="right" w:pos="9072"/>
        </w:tabs>
        <w:spacing w:after="0" w:line="240" w:lineRule="auto"/>
        <w:rPr>
          <w:rFonts w:ascii="Calibri" w:eastAsia="SimSun" w:hAnsi="Calibri" w:cs="Times New Roman"/>
          <w:snapToGrid w:val="0"/>
          <w:szCs w:val="20"/>
          <w:lang w:val="pt-BR" w:eastAsia="zh-CN"/>
        </w:rPr>
      </w:pPr>
      <w:r>
        <w:rPr>
          <w:rFonts w:ascii="Calibri" w:eastAsia="SimSun" w:hAnsi="Calibri" w:cs="Times New Roman"/>
          <w:snapToGrid w:val="0"/>
          <w:szCs w:val="20"/>
          <w:lang w:val="pt-BR" w:eastAsia="zh-CN"/>
        </w:rPr>
        <w:t xml:space="preserve">As atualizações mais recentes incluem os pontos de chamada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"https://www.e2s.com/products/hazardous-area-signalling/family/rn020"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BExCP3C</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e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"https://www.e2s.com/products/hazardous-area-signalling/family/rn030"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GNExCP6C</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agora com temperaturas de aprovação estendidas e uma gama mais ampla de valores de resistor em série e EOL, aprovados para os padrões IECEx e ATEX com aprovações PESO, INMETRO e Ex EAC adicionais. As unidades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"https://www.e2s.com/products/hazardous-area-signalling/family/rn030"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GNExCP7</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Ex d são aprovadas globalmente pelo padrão IECEx, ATEX, UL e cUL para todas as instalações da Zona 1, 2, 21 e 22 e Classe I/II Div 2 com uma variante aprovada para UL 38, Caixas de Sinalização Manual para Sistemas de Alarme de Incêndio e ULC-S528, Estações Manuais para Sistemas de Alarme de Incêndio. O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"https://www.e2s.com/products/hazardous-area-signalling/family/rn025"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STExCP8</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à prova de chamas é aprovado pela ATEX e IECEx para as Zonas 1 e 2 e também possui a aprovação de tipo DNV para locais expostos.  Para instalação fora de áreas perigosas, as unidades dos acionadores nas versões à prova de intempéries </w:t>
      </w:r>
      <w:r>
        <w:rPr>
          <w:rFonts w:ascii="Calibri" w:eastAsia="SimSun" w:hAnsi="Calibri" w:cs="Times New Roman"/>
          <w:snapToGrid w:val="0"/>
          <w:szCs w:val="20"/>
          <w:lang w:val="pt-BR" w:eastAsia="zh-CN"/>
        </w:rPr>
        <w:fldChar w:fldCharType="begin"/>
      </w:r>
      <w:r>
        <w:rPr>
          <w:rFonts w:ascii="Calibri" w:eastAsia="SimSun" w:hAnsi="Calibri" w:cs="Times New Roman"/>
          <w:snapToGrid w:val="0"/>
          <w:szCs w:val="20"/>
          <w:lang w:val="pt-BR" w:eastAsia="zh-CN"/>
        </w:rPr>
        <w:instrText xml:space="preserve"> HYPERLINK "https://www.e2s.com/products/fire-and-industrial/type/manual-alarm-call-points" </w:instrText>
      </w:r>
      <w:r>
        <w:rPr>
          <w:rFonts w:ascii="Calibri" w:eastAsia="SimSun" w:hAnsi="Calibri" w:cs="Times New Roman"/>
          <w:snapToGrid w:val="0"/>
          <w:szCs w:val="20"/>
          <w:lang w:val="pt-BR" w:eastAsia="zh-CN"/>
        </w:rPr>
        <w:fldChar w:fldCharType="separate"/>
      </w:r>
      <w:r>
        <w:rPr>
          <w:rFonts w:ascii="Calibri" w:eastAsia="SimSun" w:hAnsi="Calibri" w:cs="Times New Roman"/>
          <w:snapToGrid w:val="0"/>
          <w:color w:val="0000FF"/>
          <w:szCs w:val="20"/>
          <w:u w:val="single"/>
          <w:lang w:val="pt-BR" w:eastAsia="zh-CN"/>
        </w:rPr>
        <w:t>WP3</w:t>
      </w:r>
      <w:r>
        <w:rPr>
          <w:rFonts w:ascii="Calibri" w:eastAsia="SimSun" w:hAnsi="Calibri" w:cs="Times New Roman"/>
          <w:snapToGrid w:val="0"/>
          <w:color w:val="0000FF"/>
          <w:szCs w:val="20"/>
          <w:u w:val="single"/>
          <w:lang w:val="pt-BR" w:eastAsia="zh-CN"/>
        </w:rPr>
        <w:fldChar w:fldCharType="end"/>
      </w:r>
      <w:r>
        <w:rPr>
          <w:rFonts w:ascii="Calibri" w:eastAsia="SimSun" w:hAnsi="Calibri" w:cs="Times New Roman"/>
          <w:snapToGrid w:val="0"/>
          <w:szCs w:val="20"/>
          <w:lang w:val="pt-BR" w:eastAsia="zh-CN"/>
        </w:rPr>
        <w:t xml:space="preserve">, </w:t>
      </w:r>
      <w:hyperlink r:id="rId5" w:history="1">
        <w:r>
          <w:rPr>
            <w:rFonts w:ascii="Calibri" w:eastAsia="SimSun" w:hAnsi="Calibri" w:cs="Times New Roman"/>
            <w:snapToGrid w:val="0"/>
            <w:color w:val="0000FF"/>
            <w:szCs w:val="20"/>
            <w:u w:val="single"/>
            <w:lang w:val="pt-BR" w:eastAsia="zh-CN"/>
          </w:rPr>
          <w:t xml:space="preserve">WP6 </w:t>
        </w:r>
      </w:hyperlink>
      <w:r>
        <w:rPr>
          <w:rFonts w:ascii="Calibri" w:eastAsia="SimSun" w:hAnsi="Calibri" w:cs="Times New Roman"/>
          <w:snapToGrid w:val="0"/>
          <w:szCs w:val="20"/>
          <w:lang w:val="pt-BR" w:eastAsia="zh-CN"/>
        </w:rPr>
        <w:t xml:space="preserve">e </w:t>
      </w:r>
      <w:hyperlink r:id="rId6" w:history="1">
        <w:r>
          <w:rPr>
            <w:rFonts w:ascii="Calibri" w:eastAsia="SimSun" w:hAnsi="Calibri" w:cs="Times New Roman"/>
            <w:snapToGrid w:val="0"/>
            <w:color w:val="0000FF"/>
            <w:szCs w:val="20"/>
            <w:u w:val="single"/>
            <w:lang w:val="pt-BR" w:eastAsia="zh-CN"/>
          </w:rPr>
          <w:t xml:space="preserve">WP7 </w:t>
        </w:r>
      </w:hyperlink>
      <w:r>
        <w:rPr>
          <w:rFonts w:ascii="Calibri" w:eastAsia="SimSun" w:hAnsi="Calibri" w:cs="Times New Roman"/>
          <w:snapToGrid w:val="0"/>
          <w:szCs w:val="20"/>
          <w:lang w:val="pt-BR" w:eastAsia="zh-CN"/>
        </w:rPr>
        <w:t xml:space="preserve"> agora estão disponíveis.</w:t>
      </w:r>
    </w:p>
    <w:p>
      <w:pPr>
        <w:widowControl w:val="0"/>
        <w:tabs>
          <w:tab w:val="left" w:pos="851"/>
          <w:tab w:val="right" w:pos="9072"/>
        </w:tabs>
        <w:spacing w:after="0" w:line="240" w:lineRule="auto"/>
        <w:rPr>
          <w:rFonts w:ascii="Calibri" w:eastAsia="SimSun" w:hAnsi="Calibri" w:cs="Times New Roman"/>
          <w:snapToGrid w:val="0"/>
          <w:szCs w:val="20"/>
          <w:lang w:val="pt-BR" w:eastAsia="zh-CN"/>
        </w:rPr>
      </w:pPr>
    </w:p>
    <w:p>
      <w:pPr>
        <w:widowControl w:val="0"/>
        <w:tabs>
          <w:tab w:val="left" w:pos="851"/>
          <w:tab w:val="right" w:pos="9072"/>
        </w:tabs>
        <w:spacing w:after="0" w:line="240" w:lineRule="auto"/>
        <w:rPr>
          <w:rFonts w:ascii="Calibri" w:eastAsia="SimSun" w:hAnsi="Calibri" w:cs="Times New Roman"/>
          <w:bCs/>
          <w:snapToGrid w:val="0"/>
          <w:szCs w:val="20"/>
          <w:lang w:val="pt-BR" w:eastAsia="zh-CN"/>
        </w:rPr>
      </w:pPr>
      <w:r>
        <w:rPr>
          <w:rFonts w:ascii="Calibri" w:eastAsia="SimSun" w:hAnsi="Calibri" w:cs="Times New Roman"/>
          <w:snapToGrid w:val="0"/>
          <w:szCs w:val="20"/>
          <w:lang w:val="pt-BR" w:eastAsia="zh-CN"/>
        </w:rPr>
        <w:t xml:space="preserve">*** Fim: corpo do texto com </w:t>
      </w:r>
      <w:r>
        <w:rPr>
          <w:rFonts w:ascii="Calibri" w:eastAsia="SimSun" w:hAnsi="Calibri" w:cs="Times New Roman"/>
          <w:snapToGrid w:val="0"/>
          <w:szCs w:val="20"/>
          <w:lang w:val="pt-BR" w:eastAsia="zh-CN"/>
        </w:rPr>
        <w:t>443</w:t>
      </w:r>
      <w:r>
        <w:rPr>
          <w:rFonts w:ascii="Calibri" w:eastAsia="SimSun" w:hAnsi="Calibri" w:cs="Times New Roman"/>
          <w:snapToGrid w:val="0"/>
          <w:szCs w:val="20"/>
          <w:lang w:val="pt-BR" w:eastAsia="zh-CN"/>
        </w:rPr>
        <w:t xml:space="preserve"> palavras ***</w:t>
      </w:r>
    </w:p>
    <w:p>
      <w:pPr>
        <w:tabs>
          <w:tab w:val="left" w:pos="851"/>
          <w:tab w:val="right" w:pos="9072"/>
        </w:tabs>
        <w:spacing w:after="0" w:line="240" w:lineRule="auto"/>
        <w:rPr>
          <w:lang w:val="pt-BR"/>
        </w:rPr>
      </w:pPr>
    </w:p>
    <w:p>
      <w:pPr>
        <w:spacing w:after="0" w:line="240" w:lineRule="auto"/>
        <w:rPr>
          <w:rFonts w:cs="Arial"/>
          <w:b/>
          <w:bCs/>
          <w:lang w:val="pt-BR"/>
        </w:rPr>
      </w:pPr>
      <w:r>
        <w:rPr>
          <w:rFonts w:cs="Arial"/>
          <w:b/>
          <w:bCs/>
          <w:lang w:val="pt-BR"/>
        </w:rPr>
        <w:br w:type="page"/>
      </w:r>
    </w:p>
    <w:p>
      <w:pPr>
        <w:spacing w:after="0" w:line="240" w:lineRule="auto"/>
        <w:rPr>
          <w:rFonts w:cs="Arial"/>
          <w:b/>
          <w:lang w:val="pt-BR"/>
        </w:rPr>
      </w:pPr>
      <w:r>
        <w:rPr>
          <w:rFonts w:cs="Arial"/>
          <w:b/>
          <w:bCs/>
          <w:lang w:val="pt-BR"/>
        </w:rPr>
        <w:lastRenderedPageBreak/>
        <w:t>Notas para os editores</w:t>
      </w:r>
    </w:p>
    <w:p>
      <w:pPr>
        <w:spacing w:after="0" w:line="240" w:lineRule="auto"/>
        <w:rPr>
          <w:rFonts w:cs="Arial"/>
          <w:lang w:val="pt-BR"/>
        </w:rPr>
      </w:pPr>
    </w:p>
    <w:p>
      <w:pPr>
        <w:spacing w:after="0" w:line="240" w:lineRule="auto"/>
        <w:rPr>
          <w:rFonts w:cs="Arial"/>
          <w:lang w:val="pt-BR"/>
        </w:rPr>
      </w:pPr>
      <w:r>
        <w:rPr>
          <w:rFonts w:cs="Arial"/>
          <w:lang w:val="pt-BR"/>
        </w:rPr>
        <w:t>Para consultas, fale com:</w:t>
      </w:r>
      <w:r>
        <w:rPr>
          <w:rFonts w:cs="Arial"/>
          <w:lang w:val="pt-BR"/>
        </w:rPr>
        <w:tab/>
      </w:r>
    </w:p>
    <w:p>
      <w:pPr>
        <w:spacing w:after="0" w:line="240" w:lineRule="auto"/>
        <w:rPr>
          <w:rFonts w:cs="Arial"/>
        </w:rPr>
      </w:pPr>
      <w:r>
        <w:rPr>
          <w:rFonts w:cs="Arial"/>
        </w:rPr>
        <w:t>Nigel May</w:t>
      </w:r>
      <w:r>
        <w:rPr>
          <w:rFonts w:cs="Arial"/>
        </w:rPr>
        <w:tab/>
      </w:r>
    </w:p>
    <w:p>
      <w:pPr>
        <w:spacing w:after="0" w:line="240" w:lineRule="auto"/>
        <w:rPr>
          <w:rFonts w:cs="Arial"/>
        </w:rPr>
      </w:pPr>
      <w:r>
        <w:rPr>
          <w:rFonts w:cs="Arial"/>
        </w:rPr>
        <w:t>Parkfield Communications Limited</w:t>
      </w:r>
    </w:p>
    <w:p>
      <w:pPr>
        <w:spacing w:after="0" w:line="240" w:lineRule="auto"/>
        <w:rPr>
          <w:rFonts w:cs="Arial"/>
        </w:rPr>
      </w:pPr>
      <w:r>
        <w:rPr>
          <w:rFonts w:cs="Arial"/>
        </w:rPr>
        <w:t>Parkfield House</w:t>
      </w:r>
    </w:p>
    <w:p>
      <w:pPr>
        <w:spacing w:after="0" w:line="240" w:lineRule="auto"/>
        <w:rPr>
          <w:rFonts w:cs="Arial"/>
          <w:lang w:val="pt-BR"/>
        </w:rPr>
      </w:pPr>
      <w:r>
        <w:rPr>
          <w:rFonts w:cs="Arial"/>
          <w:lang w:val="pt-BR"/>
        </w:rPr>
        <w:t>Damerham</w:t>
      </w:r>
    </w:p>
    <w:p>
      <w:pPr>
        <w:spacing w:after="0" w:line="240" w:lineRule="auto"/>
        <w:rPr>
          <w:rFonts w:cs="Arial"/>
          <w:lang w:val="pt-BR"/>
        </w:rPr>
      </w:pPr>
      <w:r>
        <w:rPr>
          <w:rFonts w:cs="Arial"/>
          <w:lang w:val="pt-BR"/>
        </w:rPr>
        <w:t>SP6 3HQ</w:t>
      </w:r>
    </w:p>
    <w:p>
      <w:pPr>
        <w:spacing w:after="0" w:line="240" w:lineRule="auto"/>
        <w:rPr>
          <w:rFonts w:cs="Arial"/>
          <w:lang w:val="pt-BR"/>
        </w:rPr>
      </w:pPr>
      <w:r>
        <w:rPr>
          <w:rFonts w:cs="Arial"/>
          <w:lang w:val="pt-BR"/>
        </w:rPr>
        <w:t>Grã-Bretanha</w:t>
      </w:r>
    </w:p>
    <w:p>
      <w:pPr>
        <w:spacing w:after="0" w:line="240" w:lineRule="auto"/>
        <w:rPr>
          <w:rFonts w:cs="Arial"/>
          <w:lang w:val="pt-BR"/>
        </w:rPr>
      </w:pPr>
      <w:r>
        <w:rPr>
          <w:rFonts w:cs="Arial"/>
          <w:lang w:val="pt-BR"/>
        </w:rPr>
        <w:t>Tel: + 44 (0)1725 518321</w:t>
      </w:r>
    </w:p>
    <w:bookmarkStart w:id="0" w:name="_GoBack"/>
    <w:bookmarkEnd w:id="0"/>
    <w:p>
      <w:pPr>
        <w:spacing w:after="0" w:line="240" w:lineRule="auto"/>
        <w:rPr>
          <w:rFonts w:cs="Arial"/>
        </w:rPr>
      </w:pPr>
      <w:r>
        <w:fldChar w:fldCharType="begin"/>
      </w:r>
      <w:r>
        <w:instrText xml:space="preserve"> HYPERLINK "mailto:nigel.may@parkfield.co.uk" </w:instrText>
      </w:r>
      <w:r>
        <w:fldChar w:fldCharType="separate"/>
      </w:r>
      <w:r>
        <w:rPr>
          <w:rStyle w:val="Hyperlink"/>
          <w:rFonts w:cs="Arial"/>
        </w:rPr>
        <w:t>nigel.may@parkfield.co.uk</w:t>
      </w:r>
      <w:r>
        <w:rPr>
          <w:rStyle w:val="Hyperlink"/>
          <w:rFonts w:cs="Arial"/>
          <w:lang w:val="fr-FR"/>
        </w:rPr>
        <w:fldChar w:fldCharType="end"/>
      </w:r>
      <w:r>
        <w:rPr>
          <w:rFonts w:cs="Arial"/>
        </w:rPr>
        <w:t xml:space="preserve"> </w:t>
      </w:r>
    </w:p>
    <w:p>
      <w:pPr>
        <w:spacing w:after="0" w:line="240" w:lineRule="auto"/>
        <w:rPr>
          <w:rFonts w:cs="Arial"/>
        </w:rPr>
      </w:pPr>
      <w:hyperlink r:id="rId7" w:history="1">
        <w:r>
          <w:rPr>
            <w:rStyle w:val="Hyperlink"/>
            <w:rFonts w:cs="Arial"/>
          </w:rPr>
          <w:t>parkfield.co.uk</w:t>
        </w:r>
      </w:hyperlink>
      <w:r>
        <w:rPr>
          <w:rFonts w:cs="Arial"/>
        </w:rPr>
        <w:t xml:space="preserve"> </w:t>
      </w:r>
    </w:p>
    <w:p>
      <w:pPr>
        <w:spacing w:after="0" w:line="240" w:lineRule="auto"/>
        <w:rPr>
          <w:rFonts w:cs="Arial"/>
          <w:lang w:val="pt-BR"/>
        </w:rPr>
      </w:pPr>
      <w:r>
        <w:rPr>
          <w:rFonts w:cs="Arial"/>
        </w:rPr>
        <w:br/>
      </w:r>
      <w:r>
        <w:rPr>
          <w:rFonts w:cs="Arial"/>
          <w:lang w:val="pt-BR"/>
        </w:rP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spacing w:after="0" w:line="240" w:lineRule="auto"/>
        <w:rPr>
          <w:rFonts w:cs="Arial"/>
          <w:lang w:val="pt-BR"/>
        </w:rPr>
      </w:pPr>
    </w:p>
    <w:p>
      <w:pPr>
        <w:widowControl w:val="0"/>
        <w:spacing w:after="0" w:line="240" w:lineRule="auto"/>
        <w:rPr>
          <w:rFonts w:eastAsia="Times New Roman" w:cstheme="minorHAnsi"/>
          <w:snapToGrid w:val="0"/>
          <w:lang w:val="en-US"/>
        </w:rPr>
      </w:pPr>
      <w:r>
        <w:rPr>
          <w:rFonts w:eastAsia="Times New Roman" w:cstheme="minorHAnsi"/>
          <w:snapToGrid w:val="0"/>
          <w:lang w:val="en-US"/>
        </w:rPr>
        <w:t>E2S Warning Signals</w:t>
      </w:r>
    </w:p>
    <w:p>
      <w:pPr>
        <w:widowControl w:val="0"/>
        <w:spacing w:after="0" w:line="240" w:lineRule="auto"/>
        <w:rPr>
          <w:rFonts w:eastAsia="Times New Roman" w:cstheme="minorHAnsi"/>
          <w:snapToGrid w:val="0"/>
          <w:lang w:val="en-US"/>
        </w:rPr>
      </w:pPr>
      <w:r>
        <w:rPr>
          <w:rFonts w:eastAsia="Times New Roman" w:cstheme="minorHAnsi"/>
          <w:snapToGrid w:val="0"/>
          <w:lang w:val="en-US"/>
        </w:rPr>
        <w:t>17633 Telge Road</w:t>
      </w:r>
    </w:p>
    <w:p>
      <w:pPr>
        <w:widowControl w:val="0"/>
        <w:spacing w:after="0" w:line="240" w:lineRule="auto"/>
        <w:rPr>
          <w:rFonts w:eastAsia="Times New Roman" w:cstheme="minorHAnsi"/>
          <w:snapToGrid w:val="0"/>
          <w:lang w:val="en-US"/>
        </w:rPr>
      </w:pPr>
      <w:r>
        <w:rPr>
          <w:rFonts w:eastAsia="Times New Roman" w:cstheme="minorHAnsi"/>
          <w:snapToGrid w:val="0"/>
          <w:lang w:val="en-US"/>
        </w:rPr>
        <w:t>Cypress, Houston</w:t>
      </w:r>
    </w:p>
    <w:p>
      <w:pPr>
        <w:widowControl w:val="0"/>
        <w:spacing w:after="0" w:line="240" w:lineRule="auto"/>
        <w:rPr>
          <w:rFonts w:eastAsia="Times New Roman" w:cstheme="minorHAnsi"/>
          <w:snapToGrid w:val="0"/>
          <w:lang w:val="pt-BR"/>
        </w:rPr>
      </w:pPr>
      <w:r>
        <w:rPr>
          <w:rFonts w:eastAsia="Times New Roman" w:cstheme="minorHAnsi"/>
          <w:snapToGrid w:val="0"/>
          <w:lang w:val="pt-BR"/>
        </w:rPr>
        <w:t>TX 77086</w:t>
      </w:r>
    </w:p>
    <w:p>
      <w:pPr>
        <w:widowControl w:val="0"/>
        <w:spacing w:after="0" w:line="240" w:lineRule="auto"/>
        <w:rPr>
          <w:rFonts w:eastAsia="Times New Roman" w:cstheme="minorHAnsi"/>
          <w:snapToGrid w:val="0"/>
          <w:lang w:val="pt-BR"/>
        </w:rPr>
      </w:pPr>
      <w:r>
        <w:rPr>
          <w:rFonts w:eastAsia="Times New Roman" w:cstheme="minorHAnsi"/>
          <w:snapToGrid w:val="0"/>
          <w:lang w:val="pt-BR"/>
        </w:rPr>
        <w:t>Estados Unidos da America</w:t>
      </w:r>
    </w:p>
    <w:p>
      <w:pPr>
        <w:widowControl w:val="0"/>
        <w:spacing w:after="0" w:line="240" w:lineRule="auto"/>
        <w:rPr>
          <w:rFonts w:eastAsia="Times New Roman" w:cstheme="minorHAnsi"/>
          <w:snapToGrid w:val="0"/>
          <w:lang w:val="pt-BR"/>
        </w:rPr>
      </w:pPr>
      <w:r>
        <w:rPr>
          <w:rFonts w:eastAsia="Times New Roman" w:cstheme="minorHAnsi"/>
          <w:snapToGrid w:val="0"/>
          <w:lang w:val="pt-BR"/>
        </w:rPr>
        <w:t>Tel: + 1 281-377-4401</w:t>
      </w:r>
    </w:p>
    <w:p>
      <w:pPr>
        <w:widowControl w:val="0"/>
        <w:spacing w:after="0" w:line="240" w:lineRule="auto"/>
        <w:rPr>
          <w:rFonts w:eastAsia="Times New Roman" w:cstheme="minorHAnsi"/>
          <w:snapToGrid w:val="0"/>
          <w:lang w:val="pt-BR"/>
        </w:rPr>
      </w:pPr>
      <w:r>
        <w:rPr>
          <w:rFonts w:eastAsia="Times New Roman" w:cstheme="minorHAnsi"/>
          <w:snapToGrid w:val="0"/>
          <w:lang w:val="pt-BR"/>
        </w:rPr>
        <w:t>Fax: + 1 281-440-4040</w:t>
      </w:r>
    </w:p>
    <w:p>
      <w:pPr>
        <w:widowControl w:val="0"/>
        <w:spacing w:after="0" w:line="240" w:lineRule="auto"/>
        <w:rPr>
          <w:rFonts w:eastAsia="Times New Roman" w:cstheme="minorHAnsi"/>
          <w:snapToGrid w:val="0"/>
          <w:lang w:val="pt-BR"/>
        </w:rPr>
      </w:pPr>
      <w:r>
        <w:rPr>
          <w:rFonts w:eastAsia="Times New Roman" w:cstheme="minorHAnsi"/>
          <w:snapToGrid w:val="0"/>
          <w:lang w:val="pt-BR"/>
        </w:rPr>
        <w:t xml:space="preserve">Mail: </w:t>
      </w:r>
      <w:hyperlink r:id="rId8" w:history="1">
        <w:r>
          <w:rPr>
            <w:rFonts w:eastAsia="Times New Roman" w:cstheme="minorHAnsi"/>
            <w:snapToGrid w:val="0"/>
            <w:color w:val="0000FF"/>
            <w:u w:val="single"/>
            <w:lang w:val="pt-BR"/>
          </w:rPr>
          <w:t>sales@e2s.com</w:t>
        </w:r>
      </w:hyperlink>
      <w:r>
        <w:rPr>
          <w:rFonts w:eastAsia="Times New Roman" w:cstheme="minorHAnsi"/>
          <w:snapToGrid w:val="0"/>
          <w:lang w:val="pt-BR"/>
        </w:rPr>
        <w:t xml:space="preserve"> </w:t>
      </w:r>
    </w:p>
    <w:p>
      <w:pPr>
        <w:widowControl w:val="0"/>
        <w:spacing w:after="0" w:line="240" w:lineRule="auto"/>
        <w:rPr>
          <w:rFonts w:eastAsia="Times New Roman" w:cstheme="minorHAnsi"/>
          <w:snapToGrid w:val="0"/>
        </w:rPr>
      </w:pPr>
      <w:r>
        <w:rPr>
          <w:rFonts w:eastAsia="Times New Roman" w:cstheme="minorHAnsi"/>
          <w:snapToGrid w:val="0"/>
        </w:rPr>
        <w:t xml:space="preserve">Web: </w:t>
      </w:r>
      <w:hyperlink r:id="rId9" w:history="1">
        <w:r>
          <w:rPr>
            <w:rFonts w:eastAsia="Times New Roman" w:cstheme="minorHAnsi"/>
            <w:snapToGrid w:val="0"/>
            <w:color w:val="0000FF"/>
            <w:u w:val="single"/>
          </w:rPr>
          <w:t>www.e2s.com</w:t>
        </w:r>
      </w:hyperlink>
      <w:r>
        <w:rPr>
          <w:rFonts w:eastAsia="Times New Roman" w:cstheme="minorHAnsi"/>
          <w:snapToGrid w:val="0"/>
        </w:rPr>
        <w:t xml:space="preserve"> </w:t>
      </w:r>
    </w:p>
    <w:p>
      <w:pPr>
        <w:spacing w:after="0" w:line="240" w:lineRule="auto"/>
        <w:rPr>
          <w:rFonts w:cs="Arial"/>
        </w:rPr>
      </w:pPr>
    </w:p>
    <w:p>
      <w:pPr>
        <w:spacing w:after="0" w:line="240" w:lineRule="auto"/>
        <w:rPr>
          <w:rFonts w:cs="Arial"/>
        </w:rPr>
      </w:pPr>
    </w:p>
    <w:p>
      <w:pPr>
        <w:spacing w:after="0" w:line="240" w:lineRule="auto"/>
        <w:rPr>
          <w:rFonts w:cs="Arial"/>
        </w:rPr>
      </w:pPr>
      <w:r>
        <w:rPr>
          <w:rFonts w:cs="Arial"/>
        </w:rPr>
        <w:t>E2S Warning Signals</w:t>
      </w:r>
    </w:p>
    <w:p>
      <w:pPr>
        <w:spacing w:after="0" w:line="240" w:lineRule="auto"/>
        <w:rPr>
          <w:rFonts w:cs="Arial"/>
        </w:rPr>
      </w:pPr>
      <w:r>
        <w:rPr>
          <w:rFonts w:cs="Arial"/>
        </w:rPr>
        <w:t>Impress House</w:t>
      </w:r>
    </w:p>
    <w:p>
      <w:pPr>
        <w:spacing w:after="0" w:line="240" w:lineRule="auto"/>
        <w:rPr>
          <w:rFonts w:cs="Arial"/>
        </w:rPr>
      </w:pPr>
      <w:r>
        <w:rPr>
          <w:rFonts w:cs="Arial"/>
        </w:rPr>
        <w:t>Mansell Road</w:t>
      </w:r>
    </w:p>
    <w:p>
      <w:pPr>
        <w:spacing w:after="0" w:line="240" w:lineRule="auto"/>
        <w:rPr>
          <w:rFonts w:cs="Arial"/>
        </w:rPr>
      </w:pPr>
      <w:proofErr w:type="spellStart"/>
      <w:r>
        <w:rPr>
          <w:rFonts w:cs="Arial"/>
        </w:rPr>
        <w:t>Londres</w:t>
      </w:r>
      <w:proofErr w:type="spellEnd"/>
    </w:p>
    <w:p>
      <w:pPr>
        <w:spacing w:after="0" w:line="240" w:lineRule="auto"/>
        <w:rPr>
          <w:rFonts w:cs="Arial"/>
        </w:rPr>
      </w:pPr>
      <w:r>
        <w:rPr>
          <w:rFonts w:cs="Arial"/>
        </w:rPr>
        <w:t>W3 7QH</w:t>
      </w:r>
    </w:p>
    <w:p>
      <w:pPr>
        <w:spacing w:after="0" w:line="240" w:lineRule="auto"/>
        <w:rPr>
          <w:rFonts w:cs="Arial"/>
          <w:lang w:val="pt-BR"/>
        </w:rPr>
      </w:pPr>
      <w:r>
        <w:rPr>
          <w:rFonts w:cs="Arial"/>
          <w:lang w:val="pt-BR"/>
        </w:rPr>
        <w:t>Grã-Bretanha</w:t>
      </w:r>
    </w:p>
    <w:p>
      <w:pPr>
        <w:spacing w:after="0" w:line="240" w:lineRule="auto"/>
        <w:rPr>
          <w:rFonts w:cs="Arial"/>
          <w:lang w:val="pt-BR"/>
        </w:rPr>
      </w:pPr>
      <w:r>
        <w:rPr>
          <w:rFonts w:cs="Arial"/>
          <w:lang w:val="pt-BR"/>
        </w:rPr>
        <w:t>Tel: + 44 (0)20 8743 8880</w:t>
      </w:r>
    </w:p>
    <w:p>
      <w:pPr>
        <w:spacing w:after="0" w:line="240" w:lineRule="auto"/>
        <w:rPr>
          <w:rFonts w:cs="Arial"/>
          <w:lang w:val="pt-BR"/>
        </w:rPr>
      </w:pPr>
      <w:r>
        <w:rPr>
          <w:rFonts w:cs="Arial"/>
          <w:lang w:val="pt-BR"/>
        </w:rPr>
        <w:t>Fax: + 44 (0)20 8740 4200</w:t>
      </w:r>
    </w:p>
    <w:p>
      <w:pPr>
        <w:spacing w:after="0" w:line="240" w:lineRule="auto"/>
        <w:rPr>
          <w:rFonts w:cs="Arial"/>
          <w:lang w:val="pt-BR"/>
        </w:rPr>
      </w:pPr>
      <w:hyperlink r:id="rId10" w:history="1">
        <w:r>
          <w:rPr>
            <w:rStyle w:val="Hyperlink"/>
            <w:rFonts w:cs="Arial"/>
            <w:lang w:val="pt-BR"/>
          </w:rPr>
          <w:t>sales@e2s.com</w:t>
        </w:r>
      </w:hyperlink>
      <w:r>
        <w:rPr>
          <w:rFonts w:cs="Arial"/>
          <w:lang w:val="pt-BR"/>
        </w:rPr>
        <w:t xml:space="preserve"> </w:t>
      </w:r>
    </w:p>
    <w:p>
      <w:pPr>
        <w:tabs>
          <w:tab w:val="left" w:pos="851"/>
          <w:tab w:val="right" w:pos="9072"/>
        </w:tabs>
        <w:spacing w:after="0" w:line="240" w:lineRule="auto"/>
        <w:rPr>
          <w:lang w:val="fr-FR"/>
        </w:rPr>
      </w:pPr>
      <w:hyperlink r:id="rId11" w:history="1">
        <w:r>
          <w:rPr>
            <w:rStyle w:val="Hyperlink"/>
            <w:rFonts w:cs="Arial"/>
            <w:lang w:val="fr-FR"/>
          </w:rPr>
          <w:t>e2s.com</w:t>
        </w:r>
      </w:hyperlink>
    </w:p>
    <w:p>
      <w:pPr>
        <w:tabs>
          <w:tab w:val="left" w:pos="851"/>
          <w:tab w:val="right" w:pos="9072"/>
        </w:tabs>
        <w:rPr>
          <w:lang w:val="fr-F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les@e2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kfiel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2s.com/products/fire-and-industrial/type/manual-alarm-call-points" TargetMode="External"/><Relationship Id="rId11" Type="http://schemas.openxmlformats.org/officeDocument/2006/relationships/hyperlink" Target="http://www.e2s.com" TargetMode="External"/><Relationship Id="rId5" Type="http://schemas.openxmlformats.org/officeDocument/2006/relationships/hyperlink" Target="https://www.e2s.com/products/fire-and-industrial/type/manual-alarm-call-points"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855D-348C-4BBB-9E30-C4395D5C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2020-10-22T13:48:00Z</dcterms:created>
  <dcterms:modified xsi:type="dcterms:W3CDTF">2020-10-22T13:49:00Z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