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spacing w:after="0" w:line="240" w:lineRule="auto"/>
        <w:rPr>
          <w:rFonts w:cs="Arial"/>
          <w:color w:val="C00000"/>
          <w:sz w:val="52"/>
          <w:szCs w:val="52"/>
          <w:lang w:val="pt-BR"/>
        </w:rPr>
      </w:pPr>
      <w:r>
        <w:rPr>
          <w:rFonts w:cs="Arial"/>
          <w:color w:val="C00000"/>
          <w:sz w:val="52"/>
          <w:szCs w:val="52"/>
          <w:lang w:val="pt-BR" w:eastAsia="en-GB"/>
        </w:rPr>
        <w:t>Informações para a Imprensa</w:t>
      </w:r>
    </w:p>
    <w:p>
      <w:pPr>
        <w:rPr>
          <w:rFonts w:cs="Arial"/>
          <w:lang w:val="pt-BR"/>
        </w:rPr>
      </w:pPr>
      <w:r>
        <w:rPr>
          <w:lang w:val="pt-BR"/>
        </w:rPr>
        <w:t xml:space="preserve">Publicado em </w:t>
      </w:r>
      <w:r>
        <w:rPr>
          <w:rFonts w:cs="Arial"/>
          <w:lang w:val="pt-BR"/>
        </w:rPr>
        <w:t>27 de outubro de 2020</w:t>
      </w:r>
    </w:p>
    <w:p>
      <w:pPr>
        <w:spacing w:after="0" w:line="240" w:lineRule="auto"/>
        <w:rPr>
          <w:rFonts w:cs="Calibri"/>
          <w:color w:val="000000" w:themeColor="text1"/>
          <w:lang w:val="pt-BR" w:eastAsia="en-GB"/>
        </w:rPr>
      </w:pPr>
      <w:r>
        <w:rPr>
          <w:rFonts w:cs="Calibri"/>
          <w:color w:val="000000" w:themeColor="text1"/>
          <w:lang w:val="pt-BR" w:eastAsia="en-GB"/>
        </w:rPr>
        <w:t>Para baixar imagem de qualidade para impressão 300 dpi,</w:t>
      </w:r>
    </w:p>
    <w:p>
      <w:pPr>
        <w:spacing w:after="0" w:line="240" w:lineRule="auto"/>
        <w:rPr>
          <w:rFonts w:cs="Calibri"/>
          <w:color w:val="000000" w:themeColor="text1"/>
          <w:lang w:val="pt-BR" w:eastAsia="en-GB"/>
        </w:rPr>
      </w:pPr>
      <w:r>
        <w:rPr>
          <w:rFonts w:cs="Calibri"/>
          <w:color w:val="000000" w:themeColor="text1"/>
          <w:lang w:val="pt-BR" w:eastAsia="en-GB"/>
        </w:rPr>
        <w:t xml:space="preserve">vá para </w:t>
      </w:r>
      <w:r>
        <w:rPr>
          <w:rStyle w:val="InternetLink"/>
          <w:rFonts w:cs="Calibri"/>
          <w:lang w:val="pt-BR" w:eastAsia="en-GB"/>
        </w:rPr>
        <w:fldChar w:fldCharType="begin"/>
      </w:r>
      <w:r>
        <w:rPr>
          <w:rStyle w:val="InternetLink"/>
          <w:rFonts w:cs="Calibri"/>
          <w:lang w:val="pt-BR" w:eastAsia="en-GB"/>
        </w:rPr>
        <w:instrText>HYPERLINK "https://www.parkfield.co.uk/e2s/mcp-updates-print.jpg"</w:instrText>
      </w:r>
      <w:r>
        <w:rPr>
          <w:rStyle w:val="InternetLink"/>
          <w:rFonts w:cs="Calibri"/>
          <w:lang w:val="pt-BR" w:eastAsia="en-GB"/>
        </w:rPr>
      </w:r>
      <w:r>
        <w:rPr>
          <w:rStyle w:val="InternetLink"/>
          <w:rFonts w:cs="Calibri"/>
          <w:lang w:val="pt-BR" w:eastAsia="en-GB"/>
        </w:rPr>
        <w:fldChar w:fldCharType="separate"/>
      </w:r>
      <w:r>
        <w:rPr>
          <w:rStyle w:val="Hyperlink"/>
          <w:rFonts w:cs="Calibri"/>
          <w:lang w:val="pt-BR" w:eastAsia="en-GB"/>
        </w:rPr>
        <w:t>parkfield.co.uk/e2s/mcp-updates-print.jpg</w:t>
      </w:r>
      <w:r>
        <w:rPr>
          <w:rStyle w:val="InternetLink"/>
          <w:rFonts w:cs="Calibri"/>
          <w:lang w:val="pt-BR" w:eastAsia="en-GB"/>
        </w:rPr>
        <w:fldChar w:fldCharType="end"/>
      </w:r>
      <w:r>
        <w:rPr>
          <w:rFonts w:cs="Calibri"/>
          <w:color w:val="000000" w:themeColor="text1"/>
          <w:lang w:val="pt-BR" w:eastAsia="en-GB"/>
        </w:rPr>
        <w:t xml:space="preserve"> </w:t>
      </w:r>
      <w:r>
        <w:rPr>
          <w:rFonts w:cs="Calibri"/>
          <w:color w:val="000000" w:themeColor="text1"/>
          <w:lang w:val="pt-BR" w:eastAsia="en-GB"/>
        </w:rPr>
        <w:br/>
      </w:r>
    </w:p>
    <w:p>
      <w:pPr>
        <w:spacing w:after="0" w:line="240" w:lineRule="auto"/>
        <w:rPr>
          <w:lang w:val="pt-BR"/>
        </w:rPr>
      </w:pPr>
      <w:r>
        <w:rPr>
          <w:rFonts w:cs="Calibri"/>
          <w:color w:val="000000" w:themeColor="text1"/>
          <w:lang w:val="pt-BR" w:eastAsia="en-GB"/>
        </w:rPr>
        <w:t xml:space="preserve">Para baixar o texto em arquivo Word, vá para </w:t>
      </w:r>
      <w:r>
        <w:rPr>
          <w:rStyle w:val="InternetLink"/>
          <w:rFonts w:cs="Calibri"/>
          <w:lang w:val="pt-BR" w:eastAsia="en-GB"/>
        </w:rPr>
        <w:fldChar w:fldCharType="begin"/>
      </w:r>
      <w:r>
        <w:rPr>
          <w:rStyle w:val="InternetLink"/>
          <w:rFonts w:cs="Calibri"/>
          <w:lang w:val="pt-BR" w:eastAsia="en-GB"/>
        </w:rPr>
        <w:instrText>HYPERLINK "https://www.parkfield.co.uk/e2s/mcp-updates-br.docx"</w:instrText>
      </w:r>
      <w:r>
        <w:rPr>
          <w:rStyle w:val="InternetLink"/>
          <w:rFonts w:cs="Calibri"/>
          <w:lang w:val="pt-BR" w:eastAsia="en-GB"/>
        </w:rPr>
      </w:r>
      <w:r>
        <w:rPr>
          <w:rStyle w:val="InternetLink"/>
          <w:rFonts w:cs="Calibri"/>
          <w:lang w:val="pt-BR" w:eastAsia="en-GB"/>
        </w:rPr>
        <w:fldChar w:fldCharType="separate"/>
      </w:r>
      <w:r>
        <w:rPr>
          <w:rStyle w:val="Hyperlink"/>
          <w:rFonts w:cs="Calibri"/>
          <w:lang w:val="pt-BR" w:eastAsia="en-GB"/>
        </w:rPr>
        <w:t>parkfield.co.uk/e2s/mcp-updates-br.docx</w:t>
      </w:r>
      <w:r>
        <w:rPr>
          <w:rStyle w:val="InternetLink"/>
          <w:rFonts w:cs="Calibri"/>
          <w:lang w:val="pt-BR" w:eastAsia="en-GB"/>
        </w:rPr>
        <w:fldChar w:fldCharType="end"/>
      </w:r>
    </w:p>
    <w:p>
      <w:pPr>
        <w:spacing w:after="0" w:line="240" w:lineRule="auto"/>
        <w:rPr>
          <w:rFonts w:cs="Calibri"/>
          <w:color w:val="000000" w:themeColor="text1"/>
          <w:lang w:val="pt-BR" w:eastAsia="en-GB"/>
        </w:rPr>
      </w:pPr>
    </w:p>
    <w:p>
      <w:pPr>
        <w:spacing w:after="0" w:line="240" w:lineRule="auto"/>
        <w:rPr>
          <w:lang w:val="pt-BR"/>
        </w:rPr>
      </w:pPr>
      <w:r>
        <w:rPr>
          <w:rFonts w:cs="Calibri"/>
          <w:color w:val="000000" w:themeColor="text1"/>
          <w:lang w:val="pt-BR" w:eastAsia="en-GB"/>
        </w:rPr>
        <w:t xml:space="preserve">Para ver todas as informações, acesse </w:t>
      </w:r>
      <w:r>
        <w:rPr>
          <w:rStyle w:val="InternetLink"/>
          <w:lang w:val="pt-BR"/>
        </w:rPr>
        <w:fldChar w:fldCharType="begin"/>
      </w:r>
      <w:r>
        <w:rPr>
          <w:rStyle w:val="InternetLink"/>
          <w:lang w:val="pt-BR"/>
        </w:rPr>
        <w:instrText>HYPERLINK "https://www.parkfield.co.uk/e2s/"</w:instrText>
      </w:r>
      <w:r>
        <w:rPr>
          <w:rStyle w:val="InternetLink"/>
          <w:lang w:val="pt-BR"/>
        </w:rPr>
      </w:r>
      <w:r>
        <w:rPr>
          <w:rStyle w:val="InternetLink"/>
          <w:lang w:val="pt-BR"/>
        </w:rPr>
        <w:fldChar w:fldCharType="separate"/>
      </w:r>
      <w:r>
        <w:rPr>
          <w:rStyle w:val="Hyperlink"/>
          <w:lang w:val="pt-BR"/>
        </w:rPr>
        <w:t>parkfield.co.uk/e2s/</w:t>
      </w:r>
      <w:r>
        <w:rPr>
          <w:rStyle w:val="InternetLink"/>
          <w:lang w:val="pt-BR"/>
        </w:rPr>
        <w:fldChar w:fldCharType="end"/>
      </w:r>
    </w:p>
    <w:p>
      <w:pPr>
        <w:tabs>
          <w:tab w:val="left" w:pos="851"/>
          <w:tab w:val="right" w:pos="9072"/>
        </w:tabs>
        <w:spacing w:after="0" w:line="240" w:lineRule="auto"/>
        <w:rPr>
          <w:lang w:val="pt-BR"/>
        </w:rPr>
      </w:pPr>
    </w:p>
    <w:p>
      <w:pPr>
        <w:widowControl w:val="0"/>
        <w:tabs>
          <w:tab w:val="left" w:pos="851"/>
          <w:tab w:val="right" w:pos="9072"/>
        </w:tabs>
        <w:spacing w:after="0" w:line="240" w:lineRule="auto"/>
        <w:rPr>
          <w:rFonts w:ascii="Calibri" w:eastAsia="SimSun" w:hAnsi="Calibri" w:cs="Times New Roman"/>
          <w:b/>
          <w:snapToGrid w:val="0"/>
          <w:szCs w:val="20"/>
          <w:lang w:val="pt-BR" w:eastAsia="zh-CN"/>
        </w:rPr>
      </w:pPr>
      <w:r>
        <w:rPr>
          <w:rFonts w:ascii="Calibri" w:eastAsia="SimSun" w:hAnsi="Calibri" w:cs="Times New Roman"/>
          <w:b/>
          <w:snapToGrid w:val="0"/>
          <w:szCs w:val="20"/>
          <w:lang w:val="pt-BR" w:eastAsia="zh-CN"/>
        </w:rPr>
        <w:t>A gama mais ampla de MCPs do mundo foi aprimorada – novamente</w:t>
      </w:r>
    </w:p>
    <w:p>
      <w:pPr>
        <w:widowControl w:val="0"/>
        <w:tabs>
          <w:tab w:val="left" w:pos="851"/>
          <w:tab w:val="right" w:pos="9072"/>
        </w:tabs>
        <w:spacing w:after="0" w:line="240" w:lineRule="auto"/>
        <w:jc w:val="center"/>
        <w:rPr>
          <w:rFonts w:ascii="Calibri" w:eastAsia="SimSun" w:hAnsi="Calibri" w:cs="Times New Roman"/>
          <w:b/>
          <w:snapToGrid w:val="0"/>
          <w:szCs w:val="20"/>
          <w:lang w:val="pt-BR" w:eastAsia="zh-CN"/>
        </w:rPr>
      </w:pPr>
    </w:p>
    <w:p>
      <w:pPr>
        <w:widowControl w:val="0"/>
        <w:tabs>
          <w:tab w:val="left" w:pos="851"/>
          <w:tab w:val="right" w:pos="9072"/>
        </w:tabs>
        <w:spacing w:after="0" w:line="240" w:lineRule="auto"/>
        <w:rPr>
          <w:rFonts w:ascii="Calibri" w:eastAsia="SimSun" w:hAnsi="Calibri" w:cs="Times New Roman"/>
          <w:snapToGrid w:val="0"/>
          <w:szCs w:val="20"/>
          <w:lang w:val="pt-BR" w:eastAsia="zh-CN"/>
        </w:rPr>
      </w:pPr>
      <w:r>
        <w:rPr>
          <w:rFonts w:ascii="Calibri" w:eastAsia="SimSun" w:hAnsi="Calibri" w:cs="Times New Roman"/>
          <w:snapToGrid w:val="0"/>
          <w:szCs w:val="20"/>
          <w:lang w:val="pt-BR" w:eastAsia="zh-CN"/>
        </w:rPr>
        <w:t xml:space="preserve">A E2S Warning Signals fabrica uma ampla variedade de </w:t>
      </w:r>
      <w:r>
        <w:rPr>
          <w:rFonts w:ascii="Calibri" w:eastAsia="SimSun" w:hAnsi="Calibri" w:cs="Times New Roman"/>
          <w:snapToGrid w:val="0"/>
          <w:szCs w:val="20"/>
          <w:lang w:val="pt-BR" w:eastAsia="zh-CN"/>
        </w:rPr>
        <w:fldChar w:fldCharType="begin"/>
      </w:r>
      <w:r>
        <w:rPr>
          <w:rFonts w:ascii="Calibri" w:eastAsia="SimSun" w:hAnsi="Calibri" w:cs="Times New Roman"/>
          <w:snapToGrid w:val="0"/>
          <w:szCs w:val="20"/>
          <w:lang w:val="pt-BR" w:eastAsia="zh-CN"/>
        </w:rPr>
        <w:instrText xml:space="preserve"> HYPERLINK "https://www.e2s.com/products/hazardous-area/type/manual-alarm-call-points" </w:instrText>
      </w:r>
      <w:r>
        <w:rPr>
          <w:rFonts w:ascii="Calibri" w:eastAsia="SimSun" w:hAnsi="Calibri" w:cs="Times New Roman"/>
          <w:snapToGrid w:val="0"/>
          <w:szCs w:val="20"/>
          <w:lang w:val="pt-BR" w:eastAsia="zh-CN"/>
        </w:rPr>
        <w:fldChar w:fldCharType="separate"/>
      </w:r>
      <w:r>
        <w:rPr>
          <w:rFonts w:ascii="Calibri" w:eastAsia="SimSun" w:hAnsi="Calibri" w:cs="Times New Roman"/>
          <w:snapToGrid w:val="0"/>
          <w:color w:val="0000FF"/>
          <w:szCs w:val="20"/>
          <w:u w:val="single"/>
          <w:lang w:val="pt-BR" w:eastAsia="zh-CN"/>
        </w:rPr>
        <w:t>acionadores manuais, MCPs</w:t>
      </w:r>
      <w:r>
        <w:rPr>
          <w:rFonts w:ascii="Calibri" w:eastAsia="SimSun" w:hAnsi="Calibri" w:cs="Times New Roman"/>
          <w:snapToGrid w:val="0"/>
          <w:color w:val="0000FF"/>
          <w:szCs w:val="20"/>
          <w:u w:val="single"/>
          <w:lang w:val="pt-BR" w:eastAsia="zh-CN"/>
        </w:rPr>
        <w:fldChar w:fldCharType="end"/>
      </w:r>
      <w:r>
        <w:rPr>
          <w:rFonts w:ascii="Calibri" w:eastAsia="SimSun" w:hAnsi="Calibri" w:cs="Times New Roman"/>
          <w:snapToGrid w:val="0"/>
          <w:szCs w:val="20"/>
          <w:lang w:val="pt-BR" w:eastAsia="zh-CN"/>
        </w:rPr>
        <w:t xml:space="preserve">, concebidos para instalação em áreas perigosas, principalmente para o controle de sistemas de alarme e detecção de incêndio e gás. O invólucro desses itens está disponível em diferentes materiais: STEx em aço inoxidável 316L para uso nos ambientes mais adversos, GNEx com corpo em PRFV antiestático, resistente à corrosão com filtro UV e BEx em alumínio LM6 (A413) livre de cobre, para uso marítimo e à prova de corrosão com acabamento cromado e revestimento em pó. Os especificadores podem escolher o gabinete mais adequado para o local de instalação e ambiente operacional. Existem quatro opções de mecanismos operacionais. O vidro quebrável tradicional contém uma aba protetora de levantamento para minimizar a operação acidental com uma membrana de segurança, garantindo que nenhum fragmento de vidro seja liberado durante a ativação. Um botão de pressão onde está o mecanismo de operação é novamente protegido por uma aba de elevação com trava e uma ferramenta é necessária para reiniciar a unidade após a operação, além de uma unidade de botão de pressão momentânea e um botão de pressão dupla, que requer que o mecanismo de operação seja rotacionado em 90° e, em seguida, pressionado para ocorrer a ativação. Todas as versões são compatíveis com SIL2 para IEC 61508 (2010). Para reduzir o tempo e o custo da instalação, existem entradas duplas de cabos na parte superior, além de outra na lateral do gabinete. A caixa traseira pode ser rotacionada a 180° para posicionar as entradas na direção desejada. Dois tampões de bloqueio M20, definidos pelo usuário em latão, aço inoxidável ou latão niquelado são fornecidos como padrão. Também são oferecidos adaptadores de ½” e ¾" NPT e M25. </w:t>
      </w:r>
    </w:p>
    <w:p>
      <w:pPr>
        <w:widowControl w:val="0"/>
        <w:tabs>
          <w:tab w:val="left" w:pos="851"/>
          <w:tab w:val="right" w:pos="9072"/>
        </w:tabs>
        <w:spacing w:after="0" w:line="240" w:lineRule="auto"/>
        <w:rPr>
          <w:rFonts w:ascii="Calibri" w:eastAsia="SimSun" w:hAnsi="Calibri" w:cs="Times New Roman"/>
          <w:snapToGrid w:val="0"/>
          <w:szCs w:val="20"/>
          <w:lang w:val="pt-BR" w:eastAsia="zh-CN"/>
        </w:rPr>
      </w:pPr>
    </w:p>
    <w:p>
      <w:pPr>
        <w:widowControl w:val="0"/>
        <w:tabs>
          <w:tab w:val="left" w:pos="851"/>
          <w:tab w:val="right" w:pos="9072"/>
        </w:tabs>
        <w:spacing w:after="0" w:line="240" w:lineRule="auto"/>
        <w:rPr>
          <w:rFonts w:ascii="Calibri" w:eastAsia="SimSun" w:hAnsi="Calibri" w:cs="Times New Roman"/>
          <w:snapToGrid w:val="0"/>
          <w:szCs w:val="20"/>
          <w:lang w:val="pt-BR" w:eastAsia="zh-CN"/>
        </w:rPr>
      </w:pPr>
      <w:r>
        <w:rPr>
          <w:rFonts w:ascii="Calibri" w:eastAsia="SimSun" w:hAnsi="Calibri" w:cs="Times New Roman"/>
          <w:snapToGrid w:val="0"/>
          <w:szCs w:val="20"/>
          <w:lang w:val="pt-BR" w:eastAsia="zh-CN"/>
        </w:rPr>
        <w:t xml:space="preserve">As atualizações mais recentes incluem os pontos de chamada </w:t>
      </w:r>
      <w:r>
        <w:rPr>
          <w:rFonts w:ascii="Calibri" w:eastAsia="SimSun" w:hAnsi="Calibri" w:cs="Times New Roman"/>
          <w:snapToGrid w:val="0"/>
          <w:szCs w:val="20"/>
          <w:lang w:val="pt-BR" w:eastAsia="zh-CN"/>
        </w:rPr>
        <w:fldChar w:fldCharType="begin"/>
      </w:r>
      <w:r>
        <w:rPr>
          <w:rFonts w:ascii="Calibri" w:eastAsia="SimSun" w:hAnsi="Calibri" w:cs="Times New Roman"/>
          <w:snapToGrid w:val="0"/>
          <w:szCs w:val="20"/>
          <w:lang w:val="pt-BR" w:eastAsia="zh-CN"/>
        </w:rPr>
        <w:instrText xml:space="preserve"> HYPERLINK "https://www.e2s.com/products/hazardous-area-signalling/family/rn020" </w:instrText>
      </w:r>
      <w:r>
        <w:rPr>
          <w:rFonts w:ascii="Calibri" w:eastAsia="SimSun" w:hAnsi="Calibri" w:cs="Times New Roman"/>
          <w:snapToGrid w:val="0"/>
          <w:szCs w:val="20"/>
          <w:lang w:val="pt-BR" w:eastAsia="zh-CN"/>
        </w:rPr>
        <w:fldChar w:fldCharType="separate"/>
      </w:r>
      <w:r>
        <w:rPr>
          <w:rFonts w:ascii="Calibri" w:eastAsia="SimSun" w:hAnsi="Calibri" w:cs="Times New Roman"/>
          <w:snapToGrid w:val="0"/>
          <w:color w:val="0000FF"/>
          <w:szCs w:val="20"/>
          <w:u w:val="single"/>
          <w:lang w:val="pt-BR" w:eastAsia="zh-CN"/>
        </w:rPr>
        <w:t>BExCP3C</w:t>
      </w:r>
      <w:r>
        <w:rPr>
          <w:rFonts w:ascii="Calibri" w:eastAsia="SimSun" w:hAnsi="Calibri" w:cs="Times New Roman"/>
          <w:snapToGrid w:val="0"/>
          <w:color w:val="0000FF"/>
          <w:szCs w:val="20"/>
          <w:u w:val="single"/>
          <w:lang w:val="pt-BR" w:eastAsia="zh-CN"/>
        </w:rPr>
        <w:fldChar w:fldCharType="end"/>
      </w:r>
      <w:r>
        <w:rPr>
          <w:rFonts w:ascii="Calibri" w:eastAsia="SimSun" w:hAnsi="Calibri" w:cs="Times New Roman"/>
          <w:snapToGrid w:val="0"/>
          <w:szCs w:val="20"/>
          <w:lang w:val="pt-BR" w:eastAsia="zh-CN"/>
        </w:rPr>
        <w:t xml:space="preserve"> e </w:t>
      </w:r>
      <w:r>
        <w:rPr>
          <w:rFonts w:ascii="Calibri" w:eastAsia="SimSun" w:hAnsi="Calibri" w:cs="Times New Roman"/>
          <w:snapToGrid w:val="0"/>
          <w:szCs w:val="20"/>
          <w:lang w:val="pt-BR" w:eastAsia="zh-CN"/>
        </w:rPr>
        <w:fldChar w:fldCharType="begin"/>
      </w:r>
      <w:r>
        <w:rPr>
          <w:rFonts w:ascii="Calibri" w:eastAsia="SimSun" w:hAnsi="Calibri" w:cs="Times New Roman"/>
          <w:snapToGrid w:val="0"/>
          <w:szCs w:val="20"/>
          <w:lang w:val="pt-BR" w:eastAsia="zh-CN"/>
        </w:rPr>
        <w:instrText xml:space="preserve"> HYPERLINK "https://www.e2s.com/products/hazardous-area-signalling/family/rn030" </w:instrText>
      </w:r>
      <w:r>
        <w:rPr>
          <w:rFonts w:ascii="Calibri" w:eastAsia="SimSun" w:hAnsi="Calibri" w:cs="Times New Roman"/>
          <w:snapToGrid w:val="0"/>
          <w:szCs w:val="20"/>
          <w:lang w:val="pt-BR" w:eastAsia="zh-CN"/>
        </w:rPr>
        <w:fldChar w:fldCharType="separate"/>
      </w:r>
      <w:r>
        <w:rPr>
          <w:rFonts w:ascii="Calibri" w:eastAsia="SimSun" w:hAnsi="Calibri" w:cs="Times New Roman"/>
          <w:snapToGrid w:val="0"/>
          <w:color w:val="0000FF"/>
          <w:szCs w:val="20"/>
          <w:u w:val="single"/>
          <w:lang w:val="pt-BR" w:eastAsia="zh-CN"/>
        </w:rPr>
        <w:t>GNExCP6C</w:t>
      </w:r>
      <w:r>
        <w:rPr>
          <w:rFonts w:ascii="Calibri" w:eastAsia="SimSun" w:hAnsi="Calibri" w:cs="Times New Roman"/>
          <w:snapToGrid w:val="0"/>
          <w:color w:val="0000FF"/>
          <w:szCs w:val="20"/>
          <w:u w:val="single"/>
          <w:lang w:val="pt-BR" w:eastAsia="zh-CN"/>
        </w:rPr>
        <w:fldChar w:fldCharType="end"/>
      </w:r>
      <w:r>
        <w:rPr>
          <w:rFonts w:ascii="Calibri" w:eastAsia="SimSun" w:hAnsi="Calibri" w:cs="Times New Roman"/>
          <w:snapToGrid w:val="0"/>
          <w:szCs w:val="20"/>
          <w:lang w:val="pt-BR" w:eastAsia="zh-CN"/>
        </w:rPr>
        <w:t xml:space="preserve">, agora com temperaturas de aprovação estendidas e uma gama mais ampla de valores de resistor em série e EOL, aprovados para os padrões IECEx e ATEX com aprovações PESO, INMETRO e Ex EAC adicionais. As unidades </w:t>
      </w:r>
      <w:r>
        <w:rPr>
          <w:rFonts w:ascii="Calibri" w:eastAsia="SimSun" w:hAnsi="Calibri" w:cs="Times New Roman"/>
          <w:snapToGrid w:val="0"/>
          <w:szCs w:val="20"/>
          <w:lang w:val="pt-BR" w:eastAsia="zh-CN"/>
        </w:rPr>
        <w:fldChar w:fldCharType="begin"/>
      </w:r>
      <w:r>
        <w:rPr>
          <w:rFonts w:ascii="Calibri" w:eastAsia="SimSun" w:hAnsi="Calibri" w:cs="Times New Roman"/>
          <w:snapToGrid w:val="0"/>
          <w:szCs w:val="20"/>
          <w:lang w:val="pt-BR" w:eastAsia="zh-CN"/>
        </w:rPr>
        <w:instrText xml:space="preserve"> HYPERLINK "https://www.e2s.com/products/hazardous-area-signalling/family/rn030" </w:instrText>
      </w:r>
      <w:r>
        <w:rPr>
          <w:rFonts w:ascii="Calibri" w:eastAsia="SimSun" w:hAnsi="Calibri" w:cs="Times New Roman"/>
          <w:snapToGrid w:val="0"/>
          <w:szCs w:val="20"/>
          <w:lang w:val="pt-BR" w:eastAsia="zh-CN"/>
        </w:rPr>
        <w:fldChar w:fldCharType="separate"/>
      </w:r>
      <w:r>
        <w:rPr>
          <w:rFonts w:ascii="Calibri" w:eastAsia="SimSun" w:hAnsi="Calibri" w:cs="Times New Roman"/>
          <w:snapToGrid w:val="0"/>
          <w:color w:val="0000FF"/>
          <w:szCs w:val="20"/>
          <w:u w:val="single"/>
          <w:lang w:val="pt-BR" w:eastAsia="zh-CN"/>
        </w:rPr>
        <w:t>GNExCP7</w:t>
      </w:r>
      <w:r>
        <w:rPr>
          <w:rFonts w:ascii="Calibri" w:eastAsia="SimSun" w:hAnsi="Calibri" w:cs="Times New Roman"/>
          <w:snapToGrid w:val="0"/>
          <w:color w:val="0000FF"/>
          <w:szCs w:val="20"/>
          <w:u w:val="single"/>
          <w:lang w:val="pt-BR" w:eastAsia="zh-CN"/>
        </w:rPr>
        <w:fldChar w:fldCharType="end"/>
      </w:r>
      <w:r>
        <w:rPr>
          <w:rFonts w:ascii="Calibri" w:eastAsia="SimSun" w:hAnsi="Calibri" w:cs="Times New Roman"/>
          <w:snapToGrid w:val="0"/>
          <w:szCs w:val="20"/>
          <w:lang w:val="pt-BR" w:eastAsia="zh-CN"/>
        </w:rPr>
        <w:t xml:space="preserve"> Ex d são aprovadas globalmente pelo padrão IECEx, ATEX, UL e cUL para todas as instalações da Zona 1, 2, 21 e 22 e Classe I/II Div 2 com uma variante aprovada para UL 38, Caixas de Sinalização Manual para Sistemas de Alarme de Incêndio e ULC-S528, Estações Manuais para Sistemas de Alarme de Incêndio. O </w:t>
      </w:r>
      <w:r>
        <w:rPr>
          <w:rFonts w:ascii="Calibri" w:eastAsia="SimSun" w:hAnsi="Calibri" w:cs="Times New Roman"/>
          <w:snapToGrid w:val="0"/>
          <w:szCs w:val="20"/>
          <w:lang w:val="pt-BR" w:eastAsia="zh-CN"/>
        </w:rPr>
        <w:fldChar w:fldCharType="begin"/>
      </w:r>
      <w:r>
        <w:rPr>
          <w:rFonts w:ascii="Calibri" w:eastAsia="SimSun" w:hAnsi="Calibri" w:cs="Times New Roman"/>
          <w:snapToGrid w:val="0"/>
          <w:szCs w:val="20"/>
          <w:lang w:val="pt-BR" w:eastAsia="zh-CN"/>
        </w:rPr>
        <w:instrText xml:space="preserve"> HYPERLINK "https://www.e2s.com/products/hazardous-area-signalling/family/rn025" </w:instrText>
      </w:r>
      <w:r>
        <w:rPr>
          <w:rFonts w:ascii="Calibri" w:eastAsia="SimSun" w:hAnsi="Calibri" w:cs="Times New Roman"/>
          <w:snapToGrid w:val="0"/>
          <w:szCs w:val="20"/>
          <w:lang w:val="pt-BR" w:eastAsia="zh-CN"/>
        </w:rPr>
        <w:fldChar w:fldCharType="separate"/>
      </w:r>
      <w:r>
        <w:rPr>
          <w:rFonts w:ascii="Calibri" w:eastAsia="SimSun" w:hAnsi="Calibri" w:cs="Times New Roman"/>
          <w:snapToGrid w:val="0"/>
          <w:color w:val="0000FF"/>
          <w:szCs w:val="20"/>
          <w:u w:val="single"/>
          <w:lang w:val="pt-BR" w:eastAsia="zh-CN"/>
        </w:rPr>
        <w:t>STExCP8</w:t>
      </w:r>
      <w:r>
        <w:rPr>
          <w:rFonts w:ascii="Calibri" w:eastAsia="SimSun" w:hAnsi="Calibri" w:cs="Times New Roman"/>
          <w:snapToGrid w:val="0"/>
          <w:color w:val="0000FF"/>
          <w:szCs w:val="20"/>
          <w:u w:val="single"/>
          <w:lang w:val="pt-BR" w:eastAsia="zh-CN"/>
        </w:rPr>
        <w:fldChar w:fldCharType="end"/>
      </w:r>
      <w:r>
        <w:rPr>
          <w:rFonts w:ascii="Calibri" w:eastAsia="SimSun" w:hAnsi="Calibri" w:cs="Times New Roman"/>
          <w:snapToGrid w:val="0"/>
          <w:szCs w:val="20"/>
          <w:lang w:val="pt-BR" w:eastAsia="zh-CN"/>
        </w:rPr>
        <w:t xml:space="preserve"> à prova de chamas é aprovado pela ATEX e IECEx para as Zonas 1 e 2 e também possui a aprovação de tipo DNV para locais expostos.  Para instalação fora de áreas perigosas, as unidades dos acionadores nas versões à prova de intempéries </w:t>
      </w:r>
      <w:r>
        <w:rPr>
          <w:rFonts w:ascii="Calibri" w:eastAsia="SimSun" w:hAnsi="Calibri" w:cs="Times New Roman"/>
          <w:snapToGrid w:val="0"/>
          <w:szCs w:val="20"/>
          <w:lang w:val="pt-BR" w:eastAsia="zh-CN"/>
        </w:rPr>
        <w:fldChar w:fldCharType="begin"/>
      </w:r>
      <w:r>
        <w:rPr>
          <w:rFonts w:ascii="Calibri" w:eastAsia="SimSun" w:hAnsi="Calibri" w:cs="Times New Roman"/>
          <w:snapToGrid w:val="0"/>
          <w:szCs w:val="20"/>
          <w:lang w:val="pt-BR" w:eastAsia="zh-CN"/>
        </w:rPr>
        <w:instrText xml:space="preserve"> HYPERLINK "https://www.e2s.com/products/fire-and-industrial/type/manual-alarm-call-points" </w:instrText>
      </w:r>
      <w:r>
        <w:rPr>
          <w:rFonts w:ascii="Calibri" w:eastAsia="SimSun" w:hAnsi="Calibri" w:cs="Times New Roman"/>
          <w:snapToGrid w:val="0"/>
          <w:szCs w:val="20"/>
          <w:lang w:val="pt-BR" w:eastAsia="zh-CN"/>
        </w:rPr>
        <w:fldChar w:fldCharType="separate"/>
      </w:r>
      <w:r>
        <w:rPr>
          <w:rFonts w:ascii="Calibri" w:eastAsia="SimSun" w:hAnsi="Calibri" w:cs="Times New Roman"/>
          <w:snapToGrid w:val="0"/>
          <w:color w:val="0000FF"/>
          <w:szCs w:val="20"/>
          <w:u w:val="single"/>
          <w:lang w:val="pt-BR" w:eastAsia="zh-CN"/>
        </w:rPr>
        <w:t>WP3</w:t>
      </w:r>
      <w:r>
        <w:rPr>
          <w:rFonts w:ascii="Calibri" w:eastAsia="SimSun" w:hAnsi="Calibri" w:cs="Times New Roman"/>
          <w:snapToGrid w:val="0"/>
          <w:color w:val="0000FF"/>
          <w:szCs w:val="20"/>
          <w:u w:val="single"/>
          <w:lang w:val="pt-BR" w:eastAsia="zh-CN"/>
        </w:rPr>
        <w:fldChar w:fldCharType="end"/>
      </w:r>
      <w:r>
        <w:rPr>
          <w:rFonts w:ascii="Calibri" w:eastAsia="SimSun" w:hAnsi="Calibri" w:cs="Times New Roman"/>
          <w:snapToGrid w:val="0"/>
          <w:szCs w:val="20"/>
          <w:lang w:val="pt-BR" w:eastAsia="zh-CN"/>
        </w:rPr>
        <w:t xml:space="preserve">, </w:t>
      </w:r>
      <w:hyperlink r:id="rId5" w:history="1">
        <w:r>
          <w:rPr>
            <w:rFonts w:ascii="Calibri" w:eastAsia="SimSun" w:hAnsi="Calibri" w:cs="Times New Roman"/>
            <w:snapToGrid w:val="0"/>
            <w:color w:val="0000FF"/>
            <w:szCs w:val="20"/>
            <w:u w:val="single"/>
            <w:lang w:val="pt-BR" w:eastAsia="zh-CN"/>
          </w:rPr>
          <w:t xml:space="preserve">WP6 </w:t>
        </w:r>
      </w:hyperlink>
      <w:r>
        <w:rPr>
          <w:rFonts w:ascii="Calibri" w:eastAsia="SimSun" w:hAnsi="Calibri" w:cs="Times New Roman"/>
          <w:snapToGrid w:val="0"/>
          <w:szCs w:val="20"/>
          <w:lang w:val="pt-BR" w:eastAsia="zh-CN"/>
        </w:rPr>
        <w:t xml:space="preserve">e </w:t>
      </w:r>
      <w:hyperlink r:id="rId6" w:history="1">
        <w:r>
          <w:rPr>
            <w:rFonts w:ascii="Calibri" w:eastAsia="SimSun" w:hAnsi="Calibri" w:cs="Times New Roman"/>
            <w:snapToGrid w:val="0"/>
            <w:color w:val="0000FF"/>
            <w:szCs w:val="20"/>
            <w:u w:val="single"/>
            <w:lang w:val="pt-BR" w:eastAsia="zh-CN"/>
          </w:rPr>
          <w:t xml:space="preserve">WP7 </w:t>
        </w:r>
      </w:hyperlink>
      <w:r>
        <w:rPr>
          <w:rFonts w:ascii="Calibri" w:eastAsia="SimSun" w:hAnsi="Calibri" w:cs="Times New Roman"/>
          <w:snapToGrid w:val="0"/>
          <w:szCs w:val="20"/>
          <w:lang w:val="pt-BR" w:eastAsia="zh-CN"/>
        </w:rPr>
        <w:t xml:space="preserve"> agora estão disponíveis.</w:t>
      </w:r>
    </w:p>
    <w:p>
      <w:pPr>
        <w:widowControl w:val="0"/>
        <w:tabs>
          <w:tab w:val="left" w:pos="851"/>
          <w:tab w:val="right" w:pos="9072"/>
        </w:tabs>
        <w:spacing w:after="0" w:line="240" w:lineRule="auto"/>
        <w:rPr>
          <w:rFonts w:ascii="Calibri" w:eastAsia="SimSun" w:hAnsi="Calibri" w:cs="Times New Roman"/>
          <w:snapToGrid w:val="0"/>
          <w:szCs w:val="20"/>
          <w:lang w:val="pt-BR" w:eastAsia="zh-CN"/>
        </w:rPr>
      </w:pPr>
    </w:p>
    <w:p>
      <w:pPr>
        <w:widowControl w:val="0"/>
        <w:tabs>
          <w:tab w:val="left" w:pos="851"/>
          <w:tab w:val="right" w:pos="9072"/>
        </w:tabs>
        <w:spacing w:after="0" w:line="240" w:lineRule="auto"/>
        <w:rPr>
          <w:rFonts w:ascii="Calibri" w:eastAsia="SimSun" w:hAnsi="Calibri" w:cs="Times New Roman"/>
          <w:bCs/>
          <w:snapToGrid w:val="0"/>
          <w:szCs w:val="20"/>
          <w:lang w:val="pt-BR" w:eastAsia="zh-CN"/>
        </w:rPr>
      </w:pPr>
      <w:r>
        <w:rPr>
          <w:rFonts w:ascii="Calibri" w:eastAsia="SimSun" w:hAnsi="Calibri" w:cs="Times New Roman"/>
          <w:snapToGrid w:val="0"/>
          <w:szCs w:val="20"/>
          <w:lang w:val="pt-BR" w:eastAsia="zh-CN"/>
        </w:rPr>
        <w:t xml:space="preserve">*** Fim: corpo do texto com </w:t>
      </w:r>
      <w:r>
        <w:rPr>
          <w:rFonts w:ascii="Calibri" w:eastAsia="SimSun" w:hAnsi="Calibri" w:cs="Times New Roman"/>
          <w:snapToGrid w:val="0"/>
          <w:szCs w:val="20"/>
          <w:lang w:val="pt-BR" w:eastAsia="zh-CN"/>
        </w:rPr>
        <w:t>443</w:t>
      </w:r>
      <w:r>
        <w:rPr>
          <w:rFonts w:ascii="Calibri" w:eastAsia="SimSun" w:hAnsi="Calibri" w:cs="Times New Roman"/>
          <w:snapToGrid w:val="0"/>
          <w:szCs w:val="20"/>
          <w:lang w:val="pt-BR" w:eastAsia="zh-CN"/>
        </w:rPr>
        <w:t xml:space="preserve"> palavras ***</w:t>
      </w:r>
    </w:p>
    <w:p>
      <w:pPr>
        <w:tabs>
          <w:tab w:val="left" w:pos="851"/>
          <w:tab w:val="right" w:pos="9072"/>
        </w:tabs>
        <w:spacing w:after="0" w:line="240" w:lineRule="auto"/>
        <w:rPr>
          <w:lang w:val="pt-BR"/>
        </w:rPr>
      </w:pPr>
    </w:p>
    <w:p>
      <w:pPr>
        <w:spacing w:after="0" w:line="240" w:lineRule="auto"/>
        <w:rPr>
          <w:rFonts w:cs="Arial"/>
          <w:b/>
          <w:bCs/>
          <w:lang w:val="pt-BR"/>
        </w:rPr>
      </w:pPr>
      <w:r>
        <w:rPr>
          <w:rFonts w:cs="Arial"/>
          <w:b/>
          <w:bCs/>
          <w:lang w:val="pt-BR"/>
        </w:rPr>
        <w:br w:type="page"/>
      </w:r>
    </w:p>
    <w:p>
      <w:pPr>
        <w:spacing w:after="0" w:line="240" w:lineRule="auto"/>
        <w:rPr>
          <w:rFonts w:cs="Arial"/>
          <w:b/>
          <w:lang w:val="pt-BR"/>
        </w:rPr>
      </w:pPr>
      <w:r>
        <w:rPr>
          <w:rFonts w:cs="Arial"/>
          <w:b/>
          <w:bCs/>
          <w:lang w:val="pt-BR"/>
        </w:rPr>
        <w:lastRenderedPageBreak/>
        <w:t>Notas para os editores</w:t>
      </w:r>
    </w:p>
    <w:p>
      <w:pPr>
        <w:spacing w:after="0" w:line="240" w:lineRule="auto"/>
        <w:rPr>
          <w:rFonts w:cs="Arial"/>
          <w:lang w:val="pt-BR"/>
        </w:rPr>
      </w:pPr>
    </w:p>
    <w:p>
      <w:pPr>
        <w:spacing w:after="0" w:line="240" w:lineRule="auto"/>
        <w:rPr>
          <w:rFonts w:cs="Arial"/>
          <w:lang w:val="pt-BR"/>
        </w:rPr>
      </w:pPr>
      <w:r>
        <w:rPr>
          <w:rFonts w:cs="Arial"/>
          <w:lang w:val="pt-BR"/>
        </w:rPr>
        <w:t>Para consultas, fale com:</w:t>
      </w:r>
      <w:r>
        <w:rPr>
          <w:rFonts w:cs="Arial"/>
          <w:lang w:val="pt-BR"/>
        </w:rPr>
        <w:tab/>
      </w:r>
    </w:p>
    <w:p>
      <w:pPr>
        <w:spacing w:after="0" w:line="240" w:lineRule="auto"/>
        <w:rPr>
          <w:rFonts w:cs="Arial"/>
        </w:rPr>
      </w:pPr>
      <w:r>
        <w:rPr>
          <w:rFonts w:cs="Arial"/>
        </w:rPr>
        <w:t>Nigel May</w:t>
      </w:r>
      <w:r>
        <w:rPr>
          <w:rFonts w:cs="Arial"/>
        </w:rPr>
        <w:tab/>
      </w:r>
    </w:p>
    <w:p>
      <w:pPr>
        <w:spacing w:after="0" w:line="240" w:lineRule="auto"/>
        <w:rPr>
          <w:rFonts w:cs="Arial"/>
        </w:rPr>
      </w:pPr>
      <w:r>
        <w:rPr>
          <w:rFonts w:cs="Arial"/>
        </w:rPr>
        <w:t>Parkfield Communications Limited</w:t>
      </w:r>
    </w:p>
    <w:p>
      <w:pPr>
        <w:spacing w:after="0" w:line="240" w:lineRule="auto"/>
        <w:rPr>
          <w:rFonts w:cs="Arial"/>
        </w:rPr>
      </w:pPr>
      <w:r>
        <w:rPr>
          <w:rFonts w:cs="Arial"/>
        </w:rPr>
        <w:t>Parkfield House</w:t>
      </w:r>
    </w:p>
    <w:p>
      <w:pPr>
        <w:spacing w:after="0" w:line="240" w:lineRule="auto"/>
        <w:rPr>
          <w:rFonts w:cs="Arial"/>
          <w:lang w:val="pt-BR"/>
        </w:rPr>
      </w:pPr>
      <w:r>
        <w:rPr>
          <w:rFonts w:cs="Arial"/>
          <w:lang w:val="pt-BR"/>
        </w:rPr>
        <w:t>Damerham</w:t>
      </w:r>
    </w:p>
    <w:p>
      <w:pPr>
        <w:spacing w:after="0" w:line="240" w:lineRule="auto"/>
        <w:rPr>
          <w:rFonts w:cs="Arial"/>
          <w:lang w:val="pt-BR"/>
        </w:rPr>
      </w:pPr>
      <w:r>
        <w:rPr>
          <w:rFonts w:cs="Arial"/>
          <w:lang w:val="pt-BR"/>
        </w:rPr>
        <w:t>SP6 3HQ</w:t>
      </w:r>
    </w:p>
    <w:p>
      <w:pPr>
        <w:spacing w:after="0" w:line="240" w:lineRule="auto"/>
        <w:rPr>
          <w:rFonts w:cs="Arial"/>
          <w:lang w:val="pt-BR"/>
        </w:rPr>
      </w:pPr>
      <w:r>
        <w:rPr>
          <w:rFonts w:cs="Arial"/>
          <w:lang w:val="pt-BR"/>
        </w:rPr>
        <w:t>Grã-Bretanha</w:t>
      </w:r>
    </w:p>
    <w:p>
      <w:pPr>
        <w:spacing w:after="0" w:line="240" w:lineRule="auto"/>
        <w:rPr>
          <w:rFonts w:cs="Arial"/>
          <w:lang w:val="pt-BR"/>
        </w:rPr>
      </w:pPr>
      <w:r>
        <w:rPr>
          <w:rFonts w:cs="Arial"/>
          <w:lang w:val="pt-BR"/>
        </w:rPr>
        <w:t>Tel: + 44 (0)1725 518321</w:t>
      </w:r>
    </w:p>
    <w:bookmarkStart w:id="0" w:name="_GoBack"/>
    <w:bookmarkEnd w:id="0"/>
    <w:p>
      <w:pPr>
        <w:spacing w:after="0" w:line="240" w:lineRule="auto"/>
        <w:rPr>
          <w:rFonts w:cs="Arial"/>
        </w:rPr>
      </w:pPr>
      <w:r>
        <w:fldChar w:fldCharType="begin"/>
      </w:r>
      <w:r>
        <w:instrText xml:space="preserve"> HYPERLINK "mailto:nigel.may@parkfield.co.uk" </w:instrText>
      </w:r>
      <w:r>
        <w:fldChar w:fldCharType="separate"/>
      </w:r>
      <w:r>
        <w:rPr>
          <w:rStyle w:val="Hyperlink"/>
          <w:rFonts w:cs="Arial"/>
        </w:rPr>
        <w:t>nigel.may@parkfield.co.uk</w:t>
      </w:r>
      <w:r>
        <w:rPr>
          <w:rStyle w:val="Hyperlink"/>
          <w:rFonts w:cs="Arial"/>
          <w:lang w:val="fr-FR"/>
        </w:rPr>
        <w:fldChar w:fldCharType="end"/>
      </w:r>
      <w:r>
        <w:rPr>
          <w:rFonts w:cs="Arial"/>
        </w:rPr>
        <w:t xml:space="preserve"> </w:t>
      </w:r>
    </w:p>
    <w:p>
      <w:pPr>
        <w:spacing w:after="0" w:line="240" w:lineRule="auto"/>
        <w:rPr>
          <w:rFonts w:cs="Arial"/>
        </w:rPr>
      </w:pPr>
      <w:hyperlink r:id="rId7" w:history="1">
        <w:r>
          <w:rPr>
            <w:rStyle w:val="Hyperlink"/>
            <w:rFonts w:cs="Arial"/>
          </w:rPr>
          <w:t>parkfield.co.uk</w:t>
        </w:r>
      </w:hyperlink>
      <w:r>
        <w:rPr>
          <w:rFonts w:cs="Arial"/>
        </w:rPr>
        <w:t xml:space="preserve"> </w:t>
      </w:r>
    </w:p>
    <w:p>
      <w:pPr>
        <w:spacing w:after="0" w:line="240" w:lineRule="auto"/>
        <w:rPr>
          <w:rFonts w:cs="Arial"/>
          <w:lang w:val="pt-BR"/>
        </w:rPr>
      </w:pPr>
      <w:r>
        <w:rPr>
          <w:rFonts w:cs="Arial"/>
        </w:rPr>
        <w:br/>
      </w:r>
      <w:r>
        <w:rPr>
          <w:rFonts w:cs="Arial"/>
          <w:lang w:val="pt-BR"/>
        </w:rP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spacing w:after="0" w:line="240" w:lineRule="auto"/>
        <w:rPr>
          <w:rFonts w:cs="Arial"/>
          <w:lang w:val="pt-BR"/>
        </w:rPr>
      </w:pPr>
    </w:p>
    <w:p>
      <w:pPr>
        <w:widowControl w:val="0"/>
        <w:spacing w:after="0" w:line="240" w:lineRule="auto"/>
        <w:rPr>
          <w:rFonts w:eastAsia="Times New Roman" w:cstheme="minorHAnsi"/>
          <w:snapToGrid w:val="0"/>
          <w:lang w:val="en-US"/>
        </w:rPr>
      </w:pPr>
      <w:r>
        <w:rPr>
          <w:rFonts w:eastAsia="Times New Roman" w:cstheme="minorHAnsi"/>
          <w:snapToGrid w:val="0"/>
          <w:lang w:val="en-US"/>
        </w:rPr>
        <w:t>E2S Warning Signals</w:t>
      </w:r>
    </w:p>
    <w:p>
      <w:pPr>
        <w:widowControl w:val="0"/>
        <w:spacing w:after="0" w:line="240" w:lineRule="auto"/>
        <w:rPr>
          <w:rFonts w:eastAsia="Times New Roman" w:cstheme="minorHAnsi"/>
          <w:snapToGrid w:val="0"/>
          <w:lang w:val="en-US"/>
        </w:rPr>
      </w:pPr>
      <w:r>
        <w:rPr>
          <w:rFonts w:eastAsia="Times New Roman" w:cstheme="minorHAnsi"/>
          <w:snapToGrid w:val="0"/>
          <w:lang w:val="en-US"/>
        </w:rPr>
        <w:t>17633 Telge Road</w:t>
      </w:r>
    </w:p>
    <w:p>
      <w:pPr>
        <w:widowControl w:val="0"/>
        <w:spacing w:after="0" w:line="240" w:lineRule="auto"/>
        <w:rPr>
          <w:rFonts w:eastAsia="Times New Roman" w:cstheme="minorHAnsi"/>
          <w:snapToGrid w:val="0"/>
          <w:lang w:val="en-US"/>
        </w:rPr>
      </w:pPr>
      <w:r>
        <w:rPr>
          <w:rFonts w:eastAsia="Times New Roman" w:cstheme="minorHAnsi"/>
          <w:snapToGrid w:val="0"/>
          <w:lang w:val="en-US"/>
        </w:rPr>
        <w:t>Cypress, Houston</w:t>
      </w:r>
    </w:p>
    <w:p>
      <w:pPr>
        <w:widowControl w:val="0"/>
        <w:spacing w:after="0" w:line="240" w:lineRule="auto"/>
        <w:rPr>
          <w:rFonts w:eastAsia="Times New Roman" w:cstheme="minorHAnsi"/>
          <w:snapToGrid w:val="0"/>
          <w:lang w:val="pt-BR"/>
        </w:rPr>
      </w:pPr>
      <w:r>
        <w:rPr>
          <w:rFonts w:eastAsia="Times New Roman" w:cstheme="minorHAnsi"/>
          <w:snapToGrid w:val="0"/>
          <w:lang w:val="pt-BR"/>
        </w:rPr>
        <w:t>TX 77086</w:t>
      </w:r>
    </w:p>
    <w:p>
      <w:pPr>
        <w:widowControl w:val="0"/>
        <w:spacing w:after="0" w:line="240" w:lineRule="auto"/>
        <w:rPr>
          <w:rFonts w:eastAsia="Times New Roman" w:cstheme="minorHAnsi"/>
          <w:snapToGrid w:val="0"/>
          <w:lang w:val="pt-BR"/>
        </w:rPr>
      </w:pPr>
      <w:r>
        <w:rPr>
          <w:rFonts w:eastAsia="Times New Roman" w:cstheme="minorHAnsi"/>
          <w:snapToGrid w:val="0"/>
          <w:lang w:val="pt-BR"/>
        </w:rPr>
        <w:t>Estados Unidos da America</w:t>
      </w:r>
    </w:p>
    <w:p>
      <w:pPr>
        <w:widowControl w:val="0"/>
        <w:spacing w:after="0" w:line="240" w:lineRule="auto"/>
        <w:rPr>
          <w:rFonts w:eastAsia="Times New Roman" w:cstheme="minorHAnsi"/>
          <w:snapToGrid w:val="0"/>
          <w:lang w:val="pt-BR"/>
        </w:rPr>
      </w:pPr>
      <w:r>
        <w:rPr>
          <w:rFonts w:eastAsia="Times New Roman" w:cstheme="minorHAnsi"/>
          <w:snapToGrid w:val="0"/>
          <w:lang w:val="pt-BR"/>
        </w:rPr>
        <w:t>Tel: + 1 281-377-4401</w:t>
      </w:r>
    </w:p>
    <w:p>
      <w:pPr>
        <w:widowControl w:val="0"/>
        <w:spacing w:after="0" w:line="240" w:lineRule="auto"/>
        <w:rPr>
          <w:rFonts w:eastAsia="Times New Roman" w:cstheme="minorHAnsi"/>
          <w:snapToGrid w:val="0"/>
          <w:lang w:val="pt-BR"/>
        </w:rPr>
      </w:pPr>
      <w:r>
        <w:rPr>
          <w:rFonts w:eastAsia="Times New Roman" w:cstheme="minorHAnsi"/>
          <w:snapToGrid w:val="0"/>
          <w:lang w:val="pt-BR"/>
        </w:rPr>
        <w:t>Fax: + 1 281-440-4040</w:t>
      </w:r>
    </w:p>
    <w:p>
      <w:pPr>
        <w:widowControl w:val="0"/>
        <w:spacing w:after="0" w:line="240" w:lineRule="auto"/>
        <w:rPr>
          <w:rFonts w:eastAsia="Times New Roman" w:cstheme="minorHAnsi"/>
          <w:snapToGrid w:val="0"/>
          <w:lang w:val="pt-BR"/>
        </w:rPr>
      </w:pPr>
      <w:r>
        <w:rPr>
          <w:rFonts w:eastAsia="Times New Roman" w:cstheme="minorHAnsi"/>
          <w:snapToGrid w:val="0"/>
          <w:lang w:val="pt-BR"/>
        </w:rPr>
        <w:t xml:space="preserve">Mail: </w:t>
      </w:r>
      <w:hyperlink r:id="rId8" w:history="1">
        <w:r>
          <w:rPr>
            <w:rFonts w:eastAsia="Times New Roman" w:cstheme="minorHAnsi"/>
            <w:snapToGrid w:val="0"/>
            <w:color w:val="0000FF"/>
            <w:u w:val="single"/>
            <w:lang w:val="pt-BR"/>
          </w:rPr>
          <w:t>sales@e2s.com</w:t>
        </w:r>
      </w:hyperlink>
      <w:r>
        <w:rPr>
          <w:rFonts w:eastAsia="Times New Roman" w:cstheme="minorHAnsi"/>
          <w:snapToGrid w:val="0"/>
          <w:lang w:val="pt-BR"/>
        </w:rPr>
        <w:t xml:space="preserve"> </w:t>
      </w:r>
    </w:p>
    <w:p>
      <w:pPr>
        <w:widowControl w:val="0"/>
        <w:spacing w:after="0" w:line="240" w:lineRule="auto"/>
        <w:rPr>
          <w:rFonts w:eastAsia="Times New Roman" w:cstheme="minorHAnsi"/>
          <w:snapToGrid w:val="0"/>
        </w:rPr>
      </w:pPr>
      <w:r>
        <w:rPr>
          <w:rFonts w:eastAsia="Times New Roman" w:cstheme="minorHAnsi"/>
          <w:snapToGrid w:val="0"/>
        </w:rPr>
        <w:t xml:space="preserve">Web: </w:t>
      </w:r>
      <w:hyperlink r:id="rId9" w:history="1">
        <w:r>
          <w:rPr>
            <w:rFonts w:eastAsia="Times New Roman" w:cstheme="minorHAnsi"/>
            <w:snapToGrid w:val="0"/>
            <w:color w:val="0000FF"/>
            <w:u w:val="single"/>
          </w:rPr>
          <w:t>www.e2s.com</w:t>
        </w:r>
      </w:hyperlink>
      <w:r>
        <w:rPr>
          <w:rFonts w:eastAsia="Times New Roman" w:cstheme="minorHAnsi"/>
          <w:snapToGrid w:val="0"/>
        </w:rPr>
        <w:t xml:space="preserve"> </w:t>
      </w:r>
    </w:p>
    <w:p>
      <w:pPr>
        <w:spacing w:after="0" w:line="240" w:lineRule="auto"/>
        <w:rPr>
          <w:rFonts w:cs="Arial"/>
        </w:rPr>
      </w:pPr>
    </w:p>
    <w:p>
      <w:pPr>
        <w:spacing w:after="0" w:line="240" w:lineRule="auto"/>
        <w:rPr>
          <w:rFonts w:cs="Arial"/>
        </w:rPr>
      </w:pPr>
    </w:p>
    <w:p>
      <w:pPr>
        <w:spacing w:after="0" w:line="240" w:lineRule="auto"/>
        <w:rPr>
          <w:rFonts w:cs="Arial"/>
        </w:rPr>
      </w:pPr>
      <w:r>
        <w:rPr>
          <w:rFonts w:cs="Arial"/>
        </w:rPr>
        <w:t>E2S Warning Signals</w:t>
      </w:r>
    </w:p>
    <w:p>
      <w:pPr>
        <w:spacing w:after="0" w:line="240" w:lineRule="auto"/>
        <w:rPr>
          <w:rFonts w:cs="Arial"/>
        </w:rPr>
      </w:pPr>
      <w:r>
        <w:rPr>
          <w:rFonts w:cs="Arial"/>
        </w:rPr>
        <w:t>Impress House</w:t>
      </w:r>
    </w:p>
    <w:p>
      <w:pPr>
        <w:spacing w:after="0" w:line="240" w:lineRule="auto"/>
        <w:rPr>
          <w:rFonts w:cs="Arial"/>
        </w:rPr>
      </w:pPr>
      <w:r>
        <w:rPr>
          <w:rFonts w:cs="Arial"/>
        </w:rPr>
        <w:t>Mansell Road</w:t>
      </w:r>
    </w:p>
    <w:p>
      <w:pPr>
        <w:spacing w:after="0" w:line="240" w:lineRule="auto"/>
        <w:rPr>
          <w:rFonts w:cs="Arial"/>
        </w:rPr>
      </w:pPr>
      <w:proofErr w:type="spellStart"/>
      <w:r>
        <w:rPr>
          <w:rFonts w:cs="Arial"/>
        </w:rPr>
        <w:t>Londres</w:t>
      </w:r>
      <w:proofErr w:type="spellEnd"/>
    </w:p>
    <w:p>
      <w:pPr>
        <w:spacing w:after="0" w:line="240" w:lineRule="auto"/>
        <w:rPr>
          <w:rFonts w:cs="Arial"/>
        </w:rPr>
      </w:pPr>
      <w:r>
        <w:rPr>
          <w:rFonts w:cs="Arial"/>
        </w:rPr>
        <w:t>W3 7QH</w:t>
      </w:r>
    </w:p>
    <w:p>
      <w:pPr>
        <w:spacing w:after="0" w:line="240" w:lineRule="auto"/>
        <w:rPr>
          <w:rFonts w:cs="Arial"/>
          <w:lang w:val="pt-BR"/>
        </w:rPr>
      </w:pPr>
      <w:r>
        <w:rPr>
          <w:rFonts w:cs="Arial"/>
          <w:lang w:val="pt-BR"/>
        </w:rPr>
        <w:t>Grã-Bretanha</w:t>
      </w:r>
    </w:p>
    <w:p>
      <w:pPr>
        <w:spacing w:after="0" w:line="240" w:lineRule="auto"/>
        <w:rPr>
          <w:rFonts w:cs="Arial"/>
          <w:lang w:val="pt-BR"/>
        </w:rPr>
      </w:pPr>
      <w:r>
        <w:rPr>
          <w:rFonts w:cs="Arial"/>
          <w:lang w:val="pt-BR"/>
        </w:rPr>
        <w:t>Tel: + 44 (0)20 8743 8880</w:t>
      </w:r>
    </w:p>
    <w:p>
      <w:pPr>
        <w:spacing w:after="0" w:line="240" w:lineRule="auto"/>
        <w:rPr>
          <w:rFonts w:cs="Arial"/>
          <w:lang w:val="pt-BR"/>
        </w:rPr>
      </w:pPr>
      <w:r>
        <w:rPr>
          <w:rFonts w:cs="Arial"/>
          <w:lang w:val="pt-BR"/>
        </w:rPr>
        <w:t>Fax: + 44 (0)20 8740 4200</w:t>
      </w:r>
    </w:p>
    <w:p>
      <w:pPr>
        <w:spacing w:after="0" w:line="240" w:lineRule="auto"/>
        <w:rPr>
          <w:rFonts w:cs="Arial"/>
          <w:lang w:val="pt-BR"/>
        </w:rPr>
      </w:pPr>
      <w:hyperlink r:id="rId10" w:history="1">
        <w:r>
          <w:rPr>
            <w:rStyle w:val="Hyperlink"/>
            <w:rFonts w:cs="Arial"/>
            <w:lang w:val="pt-BR"/>
          </w:rPr>
          <w:t>sales@e2s.com</w:t>
        </w:r>
      </w:hyperlink>
      <w:r>
        <w:rPr>
          <w:rFonts w:cs="Arial"/>
          <w:lang w:val="pt-BR"/>
        </w:rPr>
        <w:t xml:space="preserve"> </w:t>
      </w:r>
    </w:p>
    <w:p>
      <w:pPr>
        <w:tabs>
          <w:tab w:val="left" w:pos="851"/>
          <w:tab w:val="right" w:pos="9072"/>
        </w:tabs>
        <w:spacing w:after="0" w:line="240" w:lineRule="auto"/>
        <w:rPr>
          <w:lang w:val="fr-FR"/>
        </w:rPr>
      </w:pPr>
      <w:hyperlink r:id="rId11" w:history="1">
        <w:r>
          <w:rPr>
            <w:rStyle w:val="Hyperlink"/>
            <w:rFonts w:cs="Arial"/>
            <w:lang w:val="fr-FR"/>
          </w:rPr>
          <w:t>e2s.com</w:t>
        </w:r>
      </w:hyperlink>
    </w:p>
    <w:p>
      <w:pPr>
        <w:tabs>
          <w:tab w:val="left" w:pos="851"/>
          <w:tab w:val="right" w:pos="9072"/>
        </w:tabs>
        <w:rPr>
          <w:lang w:val="fr-FR"/>
        </w:rPr>
      </w:pPr>
    </w:p>
    <w:p>
      <w:pPr>
        <w:tabs>
          <w:tab w:val="left" w:pos="851"/>
          <w:tab w:val="right" w:pos="9072"/>
        </w:tabs>
        <w:spacing w:after="0" w:line="240" w:lineRule="auto"/>
        <w:rPr>
          <w:lang w:val="pt-BR"/>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les@e2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fiel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2s.com/products/fire-and-industrial/type/manual-alarm-call-points" TargetMode="External"/><Relationship Id="rId11" Type="http://schemas.openxmlformats.org/officeDocument/2006/relationships/hyperlink" Target="http://www.e2s.com" TargetMode="External"/><Relationship Id="rId5" Type="http://schemas.openxmlformats.org/officeDocument/2006/relationships/hyperlink" Target="https://www.e2s.com/products/fire-and-industrial/type/manual-alarm-call-points" TargetMode="External"/><Relationship Id="rId10" Type="http://schemas.openxmlformats.org/officeDocument/2006/relationships/hyperlink" Target="mailto:sales@e2s.com" TargetMode="External"/><Relationship Id="rId4" Type="http://schemas.openxmlformats.org/officeDocument/2006/relationships/webSettings" Target="webSettings.xml"/><Relationship Id="rId9"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855D-348C-4BBB-9E30-C4395D5C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2020-10-22T13:48:00Z</dcterms:created>
  <dcterms:modified xsi:type="dcterms:W3CDTF">2020-10-22T13:49:00Z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