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tabs>
          <w:tab w:val="left" w:pos="851"/>
          <w:tab w:val="right" w:pos="9072"/>
        </w:tabs>
        <w:spacing w:after="0" w:line="240" w:lineRule="auto"/>
        <w:rPr>
          <w:rFonts w:ascii="MingLiU" w:eastAsia="MingLiU" w:hAnsi="MingLiU" w:cs="SimSun"/>
          <w:b/>
          <w:bCs/>
          <w:color w:val="C00000"/>
          <w:sz w:val="48"/>
          <w:szCs w:val="48"/>
        </w:rPr>
      </w:pPr>
      <w:r>
        <w:rPr>
          <w:rFonts w:ascii="MingLiU" w:eastAsia="MingLiU" w:hAnsi="MingLiU" w:cs="SimSun"/>
          <w:b/>
          <w:bCs/>
          <w:color w:val="C00000"/>
          <w:sz w:val="50"/>
          <w:szCs w:val="50"/>
        </w:rPr>
        <w:t>新闻资料</w:t>
      </w:r>
      <w:r>
        <w:rPr>
          <w:rFonts w:ascii="MingLiU" w:eastAsia="MingLiU" w:hAnsi="MingLiU" w:cs="SimSun"/>
          <w:b/>
          <w:bCs/>
          <w:color w:val="C00000"/>
          <w:sz w:val="48"/>
          <w:szCs w:val="48"/>
        </w:rPr>
        <w:t xml:space="preserve"> </w:t>
      </w:r>
      <w:r>
        <w:rPr>
          <w:rFonts w:ascii="MingLiU" w:eastAsia="MingLiU" w:hAnsi="MingLiU" w:cs="SimSun"/>
          <w:b/>
          <w:bCs/>
          <w:color w:val="C00000"/>
          <w:sz w:val="48"/>
          <w:szCs w:val="48"/>
        </w:rPr>
        <w:tab/>
      </w:r>
    </w:p>
    <w:p>
      <w:pPr>
        <w:spacing w:after="0" w:line="240" w:lineRule="auto"/>
        <w:rPr>
          <w:rFonts w:ascii="MingLiU" w:eastAsia="MingLiU" w:hAnsi="MingLiU" w:cs="SimSun"/>
          <w:bCs/>
        </w:rPr>
      </w:pPr>
      <w:r>
        <w:rPr>
          <w:rFonts w:eastAsiaTheme="minorEastAsia" w:hint="eastAsia"/>
          <w:bCs/>
          <w:szCs w:val="24"/>
        </w:rPr>
        <w:t>发布于</w:t>
      </w:r>
      <w:r>
        <w:rPr>
          <w:rFonts w:eastAsiaTheme="minorEastAsia" w:hint="eastAsia"/>
          <w:bCs/>
          <w:szCs w:val="24"/>
        </w:rPr>
        <w:t xml:space="preserve"> 2020</w:t>
      </w:r>
      <w:r>
        <w:rPr>
          <w:rFonts w:eastAsiaTheme="minorEastAsia" w:hint="eastAsia"/>
          <w:bCs/>
          <w:szCs w:val="24"/>
        </w:rPr>
        <w:t>年</w:t>
      </w:r>
      <w:r>
        <w:rPr>
          <w:rFonts w:eastAsiaTheme="minorEastAsia" w:hint="eastAsia"/>
          <w:bCs/>
          <w:szCs w:val="24"/>
        </w:rPr>
        <w:t>10</w:t>
      </w:r>
      <w:r>
        <w:rPr>
          <w:rFonts w:eastAsiaTheme="minorEastAsia" w:hint="eastAsia"/>
          <w:bCs/>
          <w:szCs w:val="24"/>
        </w:rPr>
        <w:t>月</w:t>
      </w:r>
      <w:r>
        <w:rPr>
          <w:rFonts w:eastAsiaTheme="minorEastAsia" w:hint="eastAsia"/>
          <w:bCs/>
          <w:szCs w:val="24"/>
        </w:rPr>
        <w:t>27</w:t>
      </w:r>
      <w:r>
        <w:rPr>
          <w:rFonts w:eastAsiaTheme="minorEastAsia" w:hint="eastAsia"/>
          <w:bCs/>
          <w:szCs w:val="24"/>
        </w:rPr>
        <w:t>日</w:t>
      </w:r>
    </w:p>
    <w:p>
      <w:pPr>
        <w:spacing w:after="0" w:line="240" w:lineRule="auto"/>
        <w:rPr>
          <w:rFonts w:ascii="MingLiU" w:eastAsia="MingLiU" w:hAnsi="MingLiU" w:cs="SimSun"/>
          <w:bCs/>
        </w:rPr>
      </w:pPr>
    </w:p>
    <w:p>
      <w:pPr>
        <w:spacing w:after="0" w:line="240" w:lineRule="auto"/>
      </w:pPr>
      <w:r>
        <w:rPr>
          <w:rFonts w:ascii="MingLiU" w:eastAsia="MingLiU" w:hAnsi="MingLiU" w:cs="SimSun"/>
          <w:bCs/>
        </w:rPr>
        <w:t xml:space="preserve">要下载 300dpi 打印质量图片，请访问 </w:t>
      </w:r>
      <w:hyperlink r:id="rId4" w:history="1">
        <w:r>
          <w:rPr>
            <w:rStyle w:val="Hyperlink"/>
            <w:rFonts w:ascii="MingLiU" w:eastAsia="MingLiU" w:hAnsi="MingLiU" w:cs="SimSun"/>
            <w:bCs/>
          </w:rPr>
          <w:t>parkfield.co.uk/e2s/mcp-updates-print.jpg</w:t>
        </w:r>
      </w:hyperlink>
    </w:p>
    <w:p>
      <w:pPr>
        <w:spacing w:after="0" w:line="240" w:lineRule="auto"/>
        <w:rPr>
          <w:rFonts w:ascii="MingLiU" w:eastAsiaTheme="minorEastAsia" w:hAnsi="MingLiU" w:cs="SimSun"/>
          <w:bCs/>
        </w:rPr>
      </w:pPr>
    </w:p>
    <w:p>
      <w:pPr>
        <w:spacing w:after="0" w:line="240" w:lineRule="auto"/>
      </w:pPr>
      <w:r>
        <w:rPr>
          <w:rFonts w:ascii="MingLiU" w:eastAsia="MingLiU" w:hAnsi="MingLiU" w:cs="SimSun"/>
          <w:bCs/>
        </w:rPr>
        <w:t xml:space="preserve">要下载 Word 格式文章，请访问 </w:t>
      </w:r>
      <w:hyperlink r:id="rId5" w:history="1">
        <w:r>
          <w:rPr>
            <w:rStyle w:val="Hyperlink"/>
            <w:rFonts w:ascii="MingLiU" w:eastAsia="MingLiU" w:hAnsi="MingLiU" w:cs="SimSun"/>
            <w:bCs/>
          </w:rPr>
          <w:t>parkfield.co.uk/e2s/mcp-updates-cn.docx</w:t>
        </w:r>
      </w:hyperlink>
    </w:p>
    <w:p>
      <w:pPr>
        <w:spacing w:after="0" w:line="240" w:lineRule="auto"/>
        <w:rPr>
          <w:rFonts w:ascii="MingLiU" w:eastAsiaTheme="minorEastAsia" w:hAnsi="MingLiU" w:cs="SimSun"/>
          <w:bCs/>
        </w:rPr>
      </w:pPr>
    </w:p>
    <w:p>
      <w:pPr>
        <w:tabs>
          <w:tab w:val="left" w:pos="851"/>
          <w:tab w:val="right" w:pos="9072"/>
        </w:tabs>
        <w:rPr>
          <w:b/>
          <w:snapToGrid w:val="0"/>
          <w:szCs w:val="20"/>
        </w:rPr>
      </w:pPr>
      <w:r>
        <w:rPr>
          <w:rFonts w:ascii="MingLiU" w:eastAsia="MingLiU" w:hAnsi="MingLiU" w:cs="SimSun"/>
          <w:bCs/>
        </w:rPr>
        <w:t xml:space="preserve">要查看全部 E2S 新闻资料，请访问 </w:t>
      </w:r>
      <w:hyperlink r:id="rId6" w:history="1">
        <w:r>
          <w:rPr>
            <w:rStyle w:val="Hyperlink"/>
            <w:rFonts w:ascii="MingLiU" w:eastAsia="MingLiU" w:hAnsi="MingLiU" w:cs="SimSun"/>
            <w:bCs/>
          </w:rPr>
          <w:t>parkfield.co.uk/e2s/</w:t>
        </w:r>
      </w:hyperlink>
      <w:r>
        <w:rPr>
          <w:rFonts w:ascii="MingLiU" w:eastAsia="MingLiU" w:hAnsi="MingLiU"/>
        </w:rPr>
        <w:br/>
      </w:r>
      <w:r>
        <w:rPr>
          <w:rFonts w:ascii="MingLiU" w:eastAsia="MingLiU" w:hAnsi="MingLiU"/>
        </w:rPr>
        <w:br/>
      </w:r>
      <w:r>
        <w:rPr>
          <w:rFonts w:hint="eastAsia"/>
          <w:b/>
          <w:snapToGrid w:val="0"/>
          <w:szCs w:val="20"/>
        </w:rPr>
        <w:t>世界上应用最广泛的手控警报装置得到再次改进</w:t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jc w:val="center"/>
        <w:rPr>
          <w:b/>
          <w:snapToGrid w:val="0"/>
          <w:szCs w:val="20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 xml:space="preserve">E2S Warning Signals </w:t>
      </w:r>
      <w:r>
        <w:rPr>
          <w:rFonts w:hint="eastAsia"/>
          <w:snapToGrid w:val="0"/>
          <w:szCs w:val="20"/>
        </w:rPr>
        <w:t>制造了多种</w:t>
      </w:r>
      <w:hyperlink r:id="rId7" w:history="1">
        <w:r>
          <w:rPr>
            <w:rFonts w:hint="eastAsia"/>
            <w:snapToGrid w:val="0"/>
            <w:color w:val="0000FF"/>
            <w:szCs w:val="20"/>
            <w:u w:val="single"/>
          </w:rPr>
          <w:t>手控警报装置</w:t>
        </w:r>
        <w:r>
          <w:rPr>
            <w:rFonts w:hint="eastAsia"/>
            <w:snapToGrid w:val="0"/>
            <w:color w:val="0000FF"/>
            <w:szCs w:val="20"/>
            <w:u w:val="single"/>
          </w:rPr>
          <w:t xml:space="preserve"> (MCP)</w:t>
        </w:r>
      </w:hyperlink>
      <w:r>
        <w:rPr>
          <w:rFonts w:hint="eastAsia"/>
          <w:snapToGrid w:val="0"/>
          <w:szCs w:val="20"/>
        </w:rPr>
        <w:t>，被设计安装在危险区域，主要用于火灾和气体探测及报警系统的控制。它们有不同的外壳材料可供选择：</w:t>
      </w:r>
      <w:r>
        <w:rPr>
          <w:rFonts w:hint="eastAsia"/>
          <w:snapToGrid w:val="0"/>
          <w:szCs w:val="20"/>
        </w:rPr>
        <w:t xml:space="preserve">STEx </w:t>
      </w:r>
      <w:r>
        <w:rPr>
          <w:rFonts w:hint="eastAsia"/>
          <w:snapToGrid w:val="0"/>
          <w:szCs w:val="20"/>
        </w:rPr>
        <w:t>采用</w:t>
      </w:r>
      <w:r>
        <w:rPr>
          <w:rFonts w:hint="eastAsia"/>
          <w:snapToGrid w:val="0"/>
          <w:szCs w:val="20"/>
        </w:rPr>
        <w:t xml:space="preserve"> 316L </w:t>
      </w:r>
      <w:r>
        <w:rPr>
          <w:rFonts w:hint="eastAsia"/>
          <w:snapToGrid w:val="0"/>
          <w:szCs w:val="20"/>
        </w:rPr>
        <w:t>不锈钢材质，可以在最恶劣的环境中使用，</w:t>
      </w:r>
      <w:r>
        <w:rPr>
          <w:rFonts w:hint="eastAsia"/>
          <w:snapToGrid w:val="0"/>
          <w:szCs w:val="20"/>
        </w:rPr>
        <w:t xml:space="preserve">GNEx </w:t>
      </w:r>
      <w:r>
        <w:rPr>
          <w:rFonts w:hint="eastAsia"/>
          <w:snapToGrid w:val="0"/>
          <w:szCs w:val="20"/>
        </w:rPr>
        <w:t>采用</w:t>
      </w:r>
      <w:r>
        <w:rPr>
          <w:rFonts w:hint="eastAsia"/>
          <w:snapToGrid w:val="0"/>
          <w:szCs w:val="20"/>
        </w:rPr>
        <w:t xml:space="preserve"> </w:t>
      </w:r>
      <w:r>
        <w:rPr>
          <w:rFonts w:hint="eastAsia"/>
          <w:snapToGrid w:val="0"/>
          <w:szCs w:val="20"/>
        </w:rPr>
        <w:t>防静电、抗紫外线、抗腐蚀</w:t>
      </w:r>
      <w:r>
        <w:rPr>
          <w:rFonts w:hint="eastAsia"/>
          <w:snapToGrid w:val="0"/>
          <w:szCs w:val="20"/>
        </w:rPr>
        <w:t xml:space="preserve"> GRP</w:t>
      </w:r>
      <w:r>
        <w:rPr>
          <w:rFonts w:hint="eastAsia"/>
          <w:snapToGrid w:val="0"/>
          <w:szCs w:val="20"/>
        </w:rPr>
        <w:t>，</w:t>
      </w:r>
      <w:r>
        <w:rPr>
          <w:rFonts w:hint="eastAsia"/>
          <w:snapToGrid w:val="0"/>
          <w:szCs w:val="20"/>
        </w:rPr>
        <w:t xml:space="preserve">Bex </w:t>
      </w:r>
      <w:r>
        <w:rPr>
          <w:rFonts w:hint="eastAsia"/>
          <w:snapToGrid w:val="0"/>
          <w:szCs w:val="20"/>
        </w:rPr>
        <w:t>采用防腐蚀船舶级无铜</w:t>
      </w:r>
      <w:r>
        <w:rPr>
          <w:rFonts w:hint="eastAsia"/>
          <w:snapToGrid w:val="0"/>
          <w:szCs w:val="20"/>
        </w:rPr>
        <w:t xml:space="preserve"> LM6 (A413) </w:t>
      </w:r>
      <w:r>
        <w:rPr>
          <w:rFonts w:hint="eastAsia"/>
          <w:snapToGrid w:val="0"/>
          <w:szCs w:val="20"/>
        </w:rPr>
        <w:t>铝，具有镀铬和粉末涂层。指定人员可以选择最适合安装位置和操作环境的外壳。有四种操作机制可供选择。传统的玻璃破碎工具有一个可提升的保护盖，以最大程度地减少意外操作。安全膜用以确保在操作过程中没有玻璃碎片散落。</w:t>
      </w:r>
      <w:r>
        <w:rPr>
          <w:rFonts w:hint="eastAsia"/>
          <w:snapToGrid w:val="0"/>
          <w:szCs w:val="20"/>
        </w:rPr>
        <w:t xml:space="preserve">  </w:t>
      </w:r>
      <w:r>
        <w:rPr>
          <w:rFonts w:hint="eastAsia"/>
          <w:snapToGrid w:val="0"/>
          <w:szCs w:val="20"/>
        </w:rPr>
        <w:t>操作机制设置了一个按钮，可以通过带插销的提升保护盖再次进行保护，操作后需要使用工具来重置装置。有一个瞬时动作按钮和一个双动作按钮，需要将操作机制扭转</w:t>
      </w:r>
      <w:r>
        <w:rPr>
          <w:rFonts w:hint="eastAsia"/>
          <w:snapToGrid w:val="0"/>
          <w:szCs w:val="20"/>
        </w:rPr>
        <w:t xml:space="preserve"> 90</w:t>
      </w:r>
      <w:r>
        <w:rPr>
          <w:rFonts w:hint="eastAsia"/>
          <w:snapToGrid w:val="0"/>
          <w:szCs w:val="20"/>
        </w:rPr>
        <w:t>°然后再按下才能启动。所有型号都是</w:t>
      </w:r>
      <w:r>
        <w:rPr>
          <w:rFonts w:hint="eastAsia"/>
          <w:snapToGrid w:val="0"/>
          <w:szCs w:val="20"/>
        </w:rPr>
        <w:t xml:space="preserve"> SIL2</w:t>
      </w:r>
      <w:r>
        <w:rPr>
          <w:rFonts w:hint="eastAsia"/>
          <w:snapToGrid w:val="0"/>
          <w:szCs w:val="20"/>
        </w:rPr>
        <w:t>，符合</w:t>
      </w:r>
      <w:r>
        <w:rPr>
          <w:rFonts w:hint="eastAsia"/>
          <w:snapToGrid w:val="0"/>
          <w:szCs w:val="20"/>
        </w:rPr>
        <w:t xml:space="preserve"> IEC 61508 (2010)</w:t>
      </w:r>
      <w:r>
        <w:rPr>
          <w:rFonts w:hint="eastAsia"/>
          <w:snapToGrid w:val="0"/>
          <w:szCs w:val="20"/>
        </w:rPr>
        <w:t>。为了减少安装时间和成本，在外壳的顶部和侧面都设置了双电缆入口。背箱可以</w:t>
      </w:r>
      <w:r>
        <w:rPr>
          <w:rFonts w:hint="eastAsia"/>
          <w:snapToGrid w:val="0"/>
          <w:szCs w:val="20"/>
        </w:rPr>
        <w:t xml:space="preserve"> 180</w:t>
      </w:r>
      <w:r>
        <w:rPr>
          <w:rFonts w:hint="eastAsia"/>
          <w:snapToGrid w:val="0"/>
          <w:szCs w:val="20"/>
        </w:rPr>
        <w:t>°旋转以将入口定位在所需的方向上。两个</w:t>
      </w:r>
      <w:r>
        <w:rPr>
          <w:rFonts w:hint="eastAsia"/>
          <w:snapToGrid w:val="0"/>
          <w:szCs w:val="20"/>
        </w:rPr>
        <w:t xml:space="preserve"> M20 </w:t>
      </w:r>
      <w:r>
        <w:rPr>
          <w:rFonts w:hint="eastAsia"/>
          <w:snapToGrid w:val="0"/>
          <w:szCs w:val="20"/>
        </w:rPr>
        <w:t>止动插头，用户可选择使用黄铜材质，标配不锈钢或镀镍黄铜材质。还提供了</w:t>
      </w:r>
      <w:r>
        <w:rPr>
          <w:rFonts w:hint="eastAsia"/>
          <w:snapToGrid w:val="0"/>
          <w:szCs w:val="20"/>
        </w:rPr>
        <w:t xml:space="preserve"> </w:t>
      </w:r>
      <w:r>
        <w:rPr>
          <w:rFonts w:hint="eastAsia"/>
          <w:snapToGrid w:val="0"/>
          <w:szCs w:val="20"/>
        </w:rPr>
        <w:t>½</w:t>
      </w:r>
      <w:r>
        <w:rPr>
          <w:rFonts w:hint="eastAsia"/>
          <w:snapToGrid w:val="0"/>
          <w:szCs w:val="20"/>
        </w:rPr>
        <w:t xml:space="preserve"> </w:t>
      </w:r>
      <w:r>
        <w:rPr>
          <w:rFonts w:hint="eastAsia"/>
          <w:snapToGrid w:val="0"/>
          <w:szCs w:val="20"/>
        </w:rPr>
        <w:t>和</w:t>
      </w:r>
      <w:r>
        <w:rPr>
          <w:rFonts w:hint="eastAsia"/>
          <w:snapToGrid w:val="0"/>
          <w:szCs w:val="20"/>
        </w:rPr>
        <w:t xml:space="preserve"> </w:t>
      </w:r>
      <w:r>
        <w:rPr>
          <w:rFonts w:hint="eastAsia"/>
          <w:snapToGrid w:val="0"/>
          <w:szCs w:val="20"/>
        </w:rPr>
        <w:t>¾</w:t>
      </w:r>
      <w:r>
        <w:rPr>
          <w:rFonts w:hint="eastAsia"/>
          <w:snapToGrid w:val="0"/>
          <w:szCs w:val="20"/>
        </w:rPr>
        <w:t xml:space="preserve"> </w:t>
      </w:r>
      <w:r>
        <w:rPr>
          <w:rFonts w:hint="eastAsia"/>
          <w:snapToGrid w:val="0"/>
          <w:szCs w:val="20"/>
        </w:rPr>
        <w:t>英寸</w:t>
      </w:r>
      <w:r>
        <w:rPr>
          <w:rFonts w:hint="eastAsia"/>
          <w:snapToGrid w:val="0"/>
          <w:szCs w:val="20"/>
        </w:rPr>
        <w:t xml:space="preserve"> NPT </w:t>
      </w:r>
      <w:r>
        <w:rPr>
          <w:rFonts w:hint="eastAsia"/>
          <w:snapToGrid w:val="0"/>
          <w:szCs w:val="20"/>
        </w:rPr>
        <w:t>和</w:t>
      </w:r>
      <w:r>
        <w:rPr>
          <w:rFonts w:hint="eastAsia"/>
          <w:snapToGrid w:val="0"/>
          <w:szCs w:val="20"/>
        </w:rPr>
        <w:t xml:space="preserve"> M25 </w:t>
      </w:r>
      <w:r>
        <w:rPr>
          <w:rFonts w:hint="eastAsia"/>
          <w:snapToGrid w:val="0"/>
          <w:szCs w:val="20"/>
        </w:rPr>
        <w:t>适配器。</w:t>
      </w:r>
      <w:r>
        <w:rPr>
          <w:rFonts w:hint="eastAsia"/>
          <w:snapToGrid w:val="0"/>
          <w:szCs w:val="20"/>
        </w:rPr>
        <w:t xml:space="preserve"> </w:t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snapToGrid w:val="0"/>
          <w:szCs w:val="20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>最新更新的有</w:t>
      </w:r>
      <w:r>
        <w:rPr>
          <w:rFonts w:hint="eastAsia"/>
          <w:snapToGrid w:val="0"/>
          <w:szCs w:val="20"/>
        </w:rPr>
        <w:t xml:space="preserve"> </w:t>
      </w:r>
      <w:hyperlink r:id="rId8" w:history="1">
        <w:r>
          <w:rPr>
            <w:rFonts w:hint="eastAsia"/>
            <w:snapToGrid w:val="0"/>
            <w:color w:val="0000FF"/>
            <w:szCs w:val="20"/>
            <w:u w:val="single"/>
          </w:rPr>
          <w:t>BExCP3C</w:t>
        </w:r>
      </w:hyperlink>
      <w:r>
        <w:rPr>
          <w:rFonts w:hint="eastAsia"/>
          <w:snapToGrid w:val="0"/>
          <w:szCs w:val="20"/>
        </w:rPr>
        <w:t xml:space="preserve"> </w:t>
      </w:r>
      <w:r>
        <w:rPr>
          <w:rFonts w:hint="eastAsia"/>
          <w:snapToGrid w:val="0"/>
          <w:szCs w:val="20"/>
        </w:rPr>
        <w:t>和</w:t>
      </w:r>
      <w:r>
        <w:rPr>
          <w:rFonts w:hint="eastAsia"/>
          <w:snapToGrid w:val="0"/>
          <w:szCs w:val="20"/>
        </w:rPr>
        <w:t xml:space="preserve"> </w:t>
      </w:r>
      <w:hyperlink r:id="rId9" w:history="1">
        <w:r>
          <w:rPr>
            <w:rFonts w:hint="eastAsia"/>
            <w:snapToGrid w:val="0"/>
            <w:color w:val="0000FF"/>
            <w:szCs w:val="20"/>
            <w:u w:val="single"/>
          </w:rPr>
          <w:t>GNExCP6C</w:t>
        </w:r>
      </w:hyperlink>
      <w:r>
        <w:rPr>
          <w:rFonts w:hint="eastAsia"/>
          <w:snapToGrid w:val="0"/>
          <w:szCs w:val="20"/>
        </w:rPr>
        <w:t xml:space="preserve"> </w:t>
      </w:r>
      <w:r>
        <w:rPr>
          <w:rFonts w:hint="eastAsia"/>
          <w:snapToGrid w:val="0"/>
          <w:szCs w:val="20"/>
        </w:rPr>
        <w:t>报警装置，现在其拥有更大范围的批准温度、更广的</w:t>
      </w:r>
      <w:r>
        <w:rPr>
          <w:rFonts w:hint="eastAsia"/>
          <w:snapToGrid w:val="0"/>
          <w:szCs w:val="20"/>
        </w:rPr>
        <w:t xml:space="preserve"> EOL </w:t>
      </w:r>
      <w:r>
        <w:rPr>
          <w:rFonts w:hint="eastAsia"/>
          <w:snapToGrid w:val="0"/>
          <w:szCs w:val="20"/>
        </w:rPr>
        <w:t>和串联电阻值，符合</w:t>
      </w:r>
      <w:r>
        <w:rPr>
          <w:rFonts w:hint="eastAsia"/>
          <w:snapToGrid w:val="0"/>
          <w:szCs w:val="20"/>
        </w:rPr>
        <w:t xml:space="preserve"> IECEx </w:t>
      </w:r>
      <w:r>
        <w:rPr>
          <w:rFonts w:hint="eastAsia"/>
          <w:snapToGrid w:val="0"/>
          <w:szCs w:val="20"/>
        </w:rPr>
        <w:t>和</w:t>
      </w:r>
      <w:r>
        <w:rPr>
          <w:rFonts w:hint="eastAsia"/>
          <w:snapToGrid w:val="0"/>
          <w:szCs w:val="20"/>
        </w:rPr>
        <w:t xml:space="preserve"> ATEX </w:t>
      </w:r>
      <w:r>
        <w:rPr>
          <w:rFonts w:hint="eastAsia"/>
          <w:snapToGrid w:val="0"/>
          <w:szCs w:val="20"/>
        </w:rPr>
        <w:t>标准，也获得了</w:t>
      </w:r>
      <w:r>
        <w:rPr>
          <w:rFonts w:hint="eastAsia"/>
          <w:snapToGrid w:val="0"/>
          <w:szCs w:val="20"/>
        </w:rPr>
        <w:t xml:space="preserve"> PESO,</w:t>
      </w:r>
      <w:r>
        <w:rPr>
          <w:rFonts w:hint="eastAsia"/>
          <w:snapToGrid w:val="0"/>
          <w:szCs w:val="20"/>
        </w:rPr>
        <w:t>、</w:t>
      </w:r>
      <w:r>
        <w:rPr>
          <w:rFonts w:hint="eastAsia"/>
          <w:snapToGrid w:val="0"/>
          <w:szCs w:val="20"/>
        </w:rPr>
        <w:t xml:space="preserve">INMETRO </w:t>
      </w:r>
      <w:r>
        <w:rPr>
          <w:rFonts w:hint="eastAsia"/>
          <w:snapToGrid w:val="0"/>
          <w:szCs w:val="20"/>
        </w:rPr>
        <w:t>和</w:t>
      </w:r>
      <w:r>
        <w:rPr>
          <w:rFonts w:hint="eastAsia"/>
          <w:snapToGrid w:val="0"/>
          <w:szCs w:val="20"/>
        </w:rPr>
        <w:t xml:space="preserve"> Ex EAC </w:t>
      </w:r>
      <w:r>
        <w:rPr>
          <w:rFonts w:hint="eastAsia"/>
          <w:snapToGrid w:val="0"/>
          <w:szCs w:val="20"/>
        </w:rPr>
        <w:t>认证。</w:t>
      </w:r>
      <w:hyperlink r:id="rId10" w:history="1">
        <w:r>
          <w:rPr>
            <w:rFonts w:hint="eastAsia"/>
            <w:snapToGrid w:val="0"/>
            <w:color w:val="0000FF"/>
            <w:szCs w:val="20"/>
            <w:u w:val="single"/>
          </w:rPr>
          <w:t>GNExCP7</w:t>
        </w:r>
      </w:hyperlink>
      <w:r>
        <w:rPr>
          <w:rFonts w:hint="eastAsia"/>
          <w:snapToGrid w:val="0"/>
          <w:szCs w:val="20"/>
        </w:rPr>
        <w:t xml:space="preserve"> Ex d </w:t>
      </w:r>
      <w:r>
        <w:rPr>
          <w:rFonts w:hint="eastAsia"/>
          <w:snapToGrid w:val="0"/>
          <w:szCs w:val="20"/>
        </w:rPr>
        <w:t>装置在全球范围内通过了</w:t>
      </w:r>
      <w:r>
        <w:rPr>
          <w:rFonts w:hint="eastAsia"/>
          <w:snapToGrid w:val="0"/>
          <w:szCs w:val="20"/>
        </w:rPr>
        <w:t xml:space="preserve"> IECEx</w:t>
      </w:r>
      <w:r>
        <w:rPr>
          <w:rFonts w:hint="eastAsia"/>
          <w:snapToGrid w:val="0"/>
          <w:szCs w:val="20"/>
        </w:rPr>
        <w:t>、</w:t>
      </w:r>
      <w:r>
        <w:rPr>
          <w:rFonts w:hint="eastAsia"/>
          <w:snapToGrid w:val="0"/>
          <w:szCs w:val="20"/>
        </w:rPr>
        <w:t>ATEX</w:t>
      </w:r>
      <w:r>
        <w:rPr>
          <w:rFonts w:hint="eastAsia"/>
          <w:snapToGrid w:val="0"/>
          <w:szCs w:val="20"/>
        </w:rPr>
        <w:t>、</w:t>
      </w:r>
      <w:r>
        <w:rPr>
          <w:rFonts w:hint="eastAsia"/>
          <w:snapToGrid w:val="0"/>
          <w:szCs w:val="20"/>
        </w:rPr>
        <w:t xml:space="preserve">UL </w:t>
      </w:r>
      <w:r>
        <w:rPr>
          <w:rFonts w:hint="eastAsia"/>
          <w:snapToGrid w:val="0"/>
          <w:szCs w:val="20"/>
        </w:rPr>
        <w:t>和</w:t>
      </w:r>
      <w:r>
        <w:rPr>
          <w:rFonts w:hint="eastAsia"/>
          <w:snapToGrid w:val="0"/>
          <w:szCs w:val="20"/>
        </w:rPr>
        <w:t xml:space="preserve"> cUL </w:t>
      </w:r>
      <w:r>
        <w:rPr>
          <w:rFonts w:hint="eastAsia"/>
          <w:snapToGrid w:val="0"/>
          <w:szCs w:val="20"/>
        </w:rPr>
        <w:t>的认证，适用于所有</w:t>
      </w:r>
      <w:r>
        <w:rPr>
          <w:rFonts w:hint="eastAsia"/>
          <w:snapToGrid w:val="0"/>
          <w:szCs w:val="20"/>
        </w:rPr>
        <w:t xml:space="preserve"> 1</w:t>
      </w:r>
      <w:r>
        <w:rPr>
          <w:rFonts w:hint="eastAsia"/>
          <w:snapToGrid w:val="0"/>
          <w:szCs w:val="20"/>
        </w:rPr>
        <w:t>、</w:t>
      </w:r>
      <w:r>
        <w:rPr>
          <w:rFonts w:hint="eastAsia"/>
          <w:snapToGrid w:val="0"/>
          <w:szCs w:val="20"/>
        </w:rPr>
        <w:t>2</w:t>
      </w:r>
      <w:r>
        <w:rPr>
          <w:rFonts w:hint="eastAsia"/>
          <w:snapToGrid w:val="0"/>
          <w:szCs w:val="20"/>
        </w:rPr>
        <w:t>、</w:t>
      </w:r>
      <w:r>
        <w:rPr>
          <w:rFonts w:hint="eastAsia"/>
          <w:snapToGrid w:val="0"/>
          <w:szCs w:val="20"/>
        </w:rPr>
        <w:t xml:space="preserve">21 </w:t>
      </w:r>
      <w:r>
        <w:rPr>
          <w:rFonts w:hint="eastAsia"/>
          <w:snapToGrid w:val="0"/>
          <w:szCs w:val="20"/>
        </w:rPr>
        <w:t>和</w:t>
      </w:r>
      <w:r>
        <w:rPr>
          <w:rFonts w:hint="eastAsia"/>
          <w:snapToGrid w:val="0"/>
          <w:szCs w:val="20"/>
        </w:rPr>
        <w:t xml:space="preserve"> 22 </w:t>
      </w:r>
      <w:r>
        <w:rPr>
          <w:rFonts w:hint="eastAsia"/>
          <w:snapToGrid w:val="0"/>
          <w:szCs w:val="20"/>
        </w:rPr>
        <w:t>区以及</w:t>
      </w:r>
      <w:r>
        <w:rPr>
          <w:rFonts w:hint="eastAsia"/>
          <w:snapToGrid w:val="0"/>
          <w:szCs w:val="20"/>
        </w:rPr>
        <w:t xml:space="preserve"> I/II </w:t>
      </w:r>
      <w:r>
        <w:rPr>
          <w:rFonts w:hint="eastAsia"/>
          <w:snapToGrid w:val="0"/>
          <w:szCs w:val="20"/>
        </w:rPr>
        <w:t>类</w:t>
      </w:r>
      <w:r>
        <w:rPr>
          <w:rFonts w:hint="eastAsia"/>
          <w:snapToGrid w:val="0"/>
          <w:szCs w:val="20"/>
        </w:rPr>
        <w:t xml:space="preserve"> 2 </w:t>
      </w:r>
      <w:r>
        <w:rPr>
          <w:rFonts w:hint="eastAsia"/>
          <w:snapToGrid w:val="0"/>
          <w:szCs w:val="20"/>
        </w:rPr>
        <w:t>区安装，还通过了</w:t>
      </w:r>
      <w:r>
        <w:rPr>
          <w:rFonts w:hint="eastAsia"/>
          <w:snapToGrid w:val="0"/>
          <w:szCs w:val="20"/>
        </w:rPr>
        <w:t xml:space="preserve"> UL 38</w:t>
      </w:r>
      <w:r>
        <w:rPr>
          <w:rFonts w:hint="eastAsia"/>
          <w:snapToGrid w:val="0"/>
          <w:szCs w:val="20"/>
        </w:rPr>
        <w:t>（用于火灾报警系统的手动信号箱）和</w:t>
      </w:r>
      <w:r>
        <w:rPr>
          <w:rFonts w:hint="eastAsia"/>
          <w:snapToGrid w:val="0"/>
          <w:szCs w:val="20"/>
        </w:rPr>
        <w:t xml:space="preserve"> ULC-S528</w:t>
      </w:r>
      <w:r>
        <w:rPr>
          <w:rFonts w:hint="eastAsia"/>
          <w:snapToGrid w:val="0"/>
          <w:szCs w:val="20"/>
        </w:rPr>
        <w:t>（用于火灾报警系统的手动站）等多种标准的认证。防火的</w:t>
      </w:r>
      <w:r>
        <w:rPr>
          <w:rFonts w:hint="eastAsia"/>
          <w:snapToGrid w:val="0"/>
          <w:szCs w:val="20"/>
        </w:rPr>
        <w:t xml:space="preserve"> </w:t>
      </w:r>
      <w:hyperlink r:id="rId11" w:history="1">
        <w:r>
          <w:rPr>
            <w:rFonts w:hint="eastAsia"/>
            <w:snapToGrid w:val="0"/>
            <w:color w:val="0000FF"/>
            <w:szCs w:val="20"/>
            <w:u w:val="single"/>
          </w:rPr>
          <w:t>STExCP8</w:t>
        </w:r>
      </w:hyperlink>
      <w:r>
        <w:rPr>
          <w:rFonts w:hint="eastAsia"/>
          <w:snapToGrid w:val="0"/>
          <w:szCs w:val="20"/>
        </w:rPr>
        <w:t xml:space="preserve"> </w:t>
      </w:r>
      <w:r>
        <w:rPr>
          <w:rFonts w:hint="eastAsia"/>
          <w:snapToGrid w:val="0"/>
          <w:szCs w:val="20"/>
        </w:rPr>
        <w:t>已通过</w:t>
      </w:r>
      <w:r>
        <w:rPr>
          <w:rFonts w:hint="eastAsia"/>
          <w:snapToGrid w:val="0"/>
          <w:szCs w:val="20"/>
        </w:rPr>
        <w:t xml:space="preserve"> ATEX </w:t>
      </w:r>
      <w:r>
        <w:rPr>
          <w:rFonts w:hint="eastAsia"/>
          <w:snapToGrid w:val="0"/>
          <w:szCs w:val="20"/>
        </w:rPr>
        <w:t>和</w:t>
      </w:r>
      <w:r>
        <w:rPr>
          <w:rFonts w:hint="eastAsia"/>
          <w:snapToGrid w:val="0"/>
          <w:szCs w:val="20"/>
        </w:rPr>
        <w:t xml:space="preserve"> IECEx </w:t>
      </w:r>
      <w:r>
        <w:rPr>
          <w:rFonts w:hint="eastAsia"/>
          <w:snapToGrid w:val="0"/>
          <w:szCs w:val="20"/>
        </w:rPr>
        <w:t>认证，适用于</w:t>
      </w:r>
      <w:r>
        <w:rPr>
          <w:rFonts w:hint="eastAsia"/>
          <w:snapToGrid w:val="0"/>
          <w:szCs w:val="20"/>
        </w:rPr>
        <w:t xml:space="preserve"> 1 </w:t>
      </w:r>
      <w:r>
        <w:rPr>
          <w:rFonts w:hint="eastAsia"/>
          <w:snapToGrid w:val="0"/>
          <w:szCs w:val="20"/>
        </w:rPr>
        <w:t>区和</w:t>
      </w:r>
      <w:r>
        <w:rPr>
          <w:rFonts w:hint="eastAsia"/>
          <w:snapToGrid w:val="0"/>
          <w:szCs w:val="20"/>
        </w:rPr>
        <w:t xml:space="preserve"> 2 </w:t>
      </w:r>
      <w:r>
        <w:rPr>
          <w:rFonts w:hint="eastAsia"/>
          <w:snapToGrid w:val="0"/>
          <w:szCs w:val="20"/>
        </w:rPr>
        <w:t>区，并且还通过了</w:t>
      </w:r>
      <w:r>
        <w:rPr>
          <w:rFonts w:hint="eastAsia"/>
          <w:snapToGrid w:val="0"/>
          <w:szCs w:val="20"/>
        </w:rPr>
        <w:t xml:space="preserve"> DNV </w:t>
      </w:r>
      <w:r>
        <w:rPr>
          <w:rFonts w:hint="eastAsia"/>
          <w:snapToGrid w:val="0"/>
          <w:szCs w:val="20"/>
        </w:rPr>
        <w:t>型认证，可用于露天场所。</w:t>
      </w:r>
      <w:r>
        <w:rPr>
          <w:rFonts w:hint="eastAsia"/>
          <w:snapToGrid w:val="0"/>
          <w:szCs w:val="20"/>
        </w:rPr>
        <w:t xml:space="preserve">  </w:t>
      </w:r>
      <w:r>
        <w:rPr>
          <w:rFonts w:hint="eastAsia"/>
          <w:snapToGrid w:val="0"/>
          <w:szCs w:val="20"/>
        </w:rPr>
        <w:t>对于危险区域外安装的装置，现已提供</w:t>
      </w:r>
      <w:r>
        <w:rPr>
          <w:rFonts w:hint="eastAsia"/>
          <w:snapToGrid w:val="0"/>
          <w:szCs w:val="20"/>
        </w:rPr>
        <w:t xml:space="preserve"> IP66/IP67 </w:t>
      </w:r>
      <w:r>
        <w:rPr>
          <w:rFonts w:hint="eastAsia"/>
          <w:snapToGrid w:val="0"/>
          <w:szCs w:val="20"/>
        </w:rPr>
        <w:t>防水型号</w:t>
      </w:r>
      <w:r>
        <w:rPr>
          <w:rFonts w:hint="eastAsia"/>
          <w:snapToGrid w:val="0"/>
          <w:szCs w:val="20"/>
        </w:rPr>
        <w:t xml:space="preserve"> </w:t>
      </w:r>
      <w:hyperlink r:id="rId12" w:history="1">
        <w:r>
          <w:rPr>
            <w:rFonts w:hint="eastAsia"/>
            <w:snapToGrid w:val="0"/>
            <w:color w:val="0000FF"/>
            <w:szCs w:val="20"/>
            <w:u w:val="single"/>
          </w:rPr>
          <w:t>WP3</w:t>
        </w:r>
      </w:hyperlink>
      <w:r>
        <w:rPr>
          <w:rFonts w:hint="eastAsia"/>
          <w:snapToGrid w:val="0"/>
          <w:szCs w:val="20"/>
        </w:rPr>
        <w:t>、</w:t>
      </w:r>
      <w:hyperlink r:id="rId13" w:history="1">
        <w:r>
          <w:rPr>
            <w:rFonts w:hint="eastAsia"/>
            <w:snapToGrid w:val="0"/>
            <w:color w:val="0000FF"/>
            <w:szCs w:val="20"/>
            <w:u w:val="single"/>
          </w:rPr>
          <w:t xml:space="preserve">WP6 </w:t>
        </w:r>
      </w:hyperlink>
      <w:r>
        <w:rPr>
          <w:rFonts w:hint="eastAsia"/>
          <w:snapToGrid w:val="0"/>
          <w:szCs w:val="20"/>
        </w:rPr>
        <w:t>和</w:t>
      </w:r>
      <w:r>
        <w:rPr>
          <w:rFonts w:hint="eastAsia"/>
          <w:snapToGrid w:val="0"/>
          <w:szCs w:val="20"/>
        </w:rPr>
        <w:t xml:space="preserve"> </w:t>
      </w:r>
      <w:hyperlink r:id="rId14" w:history="1">
        <w:r>
          <w:rPr>
            <w:rFonts w:hint="eastAsia"/>
            <w:snapToGrid w:val="0"/>
            <w:color w:val="0000FF"/>
            <w:szCs w:val="20"/>
            <w:u w:val="single"/>
          </w:rPr>
          <w:t xml:space="preserve">WP7 </w:t>
        </w:r>
      </w:hyperlink>
      <w:r>
        <w:rPr>
          <w:rFonts w:hint="eastAsia"/>
          <w:snapToGrid w:val="0"/>
          <w:szCs w:val="20"/>
        </w:rPr>
        <w:t>报警装置。</w:t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snapToGrid w:val="0"/>
          <w:szCs w:val="20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bCs/>
          <w:snapToGrid w:val="0"/>
          <w:szCs w:val="20"/>
        </w:rPr>
      </w:pPr>
      <w:r>
        <w:rPr>
          <w:snapToGrid w:val="0"/>
          <w:szCs w:val="20"/>
          <w:lang w:val="en-US"/>
        </w:rPr>
        <w:t>*** </w:t>
      </w:r>
      <w:r>
        <w:rPr>
          <w:rFonts w:hint="eastAsia"/>
          <w:snapToGrid w:val="0"/>
          <w:szCs w:val="20"/>
        </w:rPr>
        <w:t>结束：正文副本</w:t>
      </w:r>
      <w:r>
        <w:rPr>
          <w:snapToGrid w:val="0"/>
          <w:szCs w:val="20"/>
          <w:lang w:val="en-US"/>
        </w:rPr>
        <w:t> 648 </w:t>
      </w:r>
      <w:r>
        <w:rPr>
          <w:rFonts w:hint="eastAsia"/>
          <w:snapToGrid w:val="0"/>
          <w:szCs w:val="20"/>
        </w:rPr>
        <w:t>字</w:t>
      </w:r>
      <w:r>
        <w:rPr>
          <w:snapToGrid w:val="0"/>
          <w:szCs w:val="20"/>
          <w:lang w:val="en-US"/>
        </w:rPr>
        <w:t> ***</w:t>
      </w:r>
    </w:p>
    <w:p>
      <w:pPr>
        <w:spacing w:line="260" w:lineRule="auto"/>
        <w:rPr>
          <w:b/>
          <w:szCs w:val="24"/>
          <w:lang w:val="zh-CN"/>
        </w:rPr>
      </w:pPr>
      <w:r>
        <w:rPr>
          <w:rFonts w:ascii="MingLiU" w:eastAsia="MingLiU" w:hAnsi="MingLiU"/>
          <w:lang w:val="pt-BR"/>
        </w:rPr>
        <w:br/>
      </w:r>
    </w:p>
    <w:p>
      <w:pPr>
        <w:spacing w:after="0" w:line="240" w:lineRule="auto"/>
        <w:rPr>
          <w:b/>
          <w:szCs w:val="24"/>
          <w:lang w:val="zh-CN"/>
        </w:rPr>
      </w:pPr>
      <w:r>
        <w:rPr>
          <w:b/>
          <w:szCs w:val="24"/>
          <w:lang w:val="zh-CN"/>
        </w:rPr>
        <w:br w:type="page"/>
      </w:r>
    </w:p>
    <w:p>
      <w:pPr>
        <w:spacing w:line="260" w:lineRule="auto"/>
        <w:rPr>
          <w:b/>
          <w:szCs w:val="24"/>
        </w:rPr>
      </w:pPr>
      <w:r>
        <w:rPr>
          <w:rFonts w:hint="eastAsia"/>
          <w:b/>
          <w:szCs w:val="24"/>
          <w:lang w:val="zh-CN"/>
        </w:rPr>
        <w:lastRenderedPageBreak/>
        <w:t>编者按</w:t>
      </w:r>
    </w:p>
    <w:p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所有后续问询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请联系以下人员</w:t>
      </w:r>
      <w:r>
        <w:rPr>
          <w:rFonts w:hint="eastAsia"/>
          <w:szCs w:val="24"/>
        </w:rPr>
        <w:t>：</w:t>
      </w:r>
      <w:r>
        <w:rPr>
          <w:szCs w:val="24"/>
        </w:rPr>
        <w:tab/>
      </w:r>
    </w:p>
    <w:p>
      <w:pPr>
        <w:spacing w:after="0"/>
        <w:rPr>
          <w:szCs w:val="24"/>
        </w:rPr>
      </w:pPr>
      <w:r>
        <w:rPr>
          <w:noProof/>
          <w:szCs w:val="24"/>
        </w:rPr>
        <w:t>Nigel May</w:t>
      </w:r>
      <w:r>
        <w:rPr>
          <w:szCs w:val="24"/>
        </w:rPr>
        <w:tab/>
      </w:r>
    </w:p>
    <w:p>
      <w:pPr>
        <w:spacing w:after="0"/>
        <w:rPr>
          <w:szCs w:val="24"/>
        </w:rPr>
      </w:pPr>
      <w:r>
        <w:rPr>
          <w:noProof/>
          <w:szCs w:val="24"/>
        </w:rPr>
        <w:t>Parkfield Communications Limited</w:t>
      </w:r>
    </w:p>
    <w:p>
      <w:pPr>
        <w:spacing w:after="0"/>
        <w:rPr>
          <w:szCs w:val="24"/>
        </w:rPr>
      </w:pPr>
      <w:r>
        <w:rPr>
          <w:noProof/>
          <w:szCs w:val="24"/>
        </w:rPr>
        <w:t>Parkfield House</w:t>
      </w:r>
    </w:p>
    <w:p>
      <w:pPr>
        <w:spacing w:after="0"/>
        <w:rPr>
          <w:szCs w:val="24"/>
        </w:rPr>
      </w:pPr>
      <w:r>
        <w:rPr>
          <w:noProof/>
          <w:szCs w:val="24"/>
        </w:rPr>
        <w:t>Damerham</w:t>
      </w:r>
    </w:p>
    <w:p>
      <w:pPr>
        <w:spacing w:after="0"/>
        <w:rPr>
          <w:szCs w:val="24"/>
        </w:rPr>
      </w:pPr>
      <w:r>
        <w:rPr>
          <w:noProof/>
          <w:szCs w:val="24"/>
        </w:rPr>
        <w:t>SP6 3HQ</w:t>
      </w:r>
    </w:p>
    <w:p>
      <w:pPr>
        <w:spacing w:after="0"/>
        <w:rPr>
          <w:szCs w:val="24"/>
        </w:rPr>
      </w:pPr>
      <w:r>
        <w:rPr>
          <w:noProof/>
          <w:szCs w:val="24"/>
        </w:rPr>
        <w:t>Great Britain</w:t>
      </w:r>
    </w:p>
    <w:p>
      <w:pPr>
        <w:spacing w:after="0" w:line="260" w:lineRule="auto"/>
        <w:rPr>
          <w:szCs w:val="24"/>
        </w:rPr>
      </w:pPr>
      <w:r>
        <w:rPr>
          <w:rFonts w:hint="eastAsia"/>
          <w:szCs w:val="24"/>
          <w:lang w:val="zh-CN"/>
        </w:rPr>
        <w:t>电话</w:t>
      </w:r>
      <w:r>
        <w:rPr>
          <w:rFonts w:hint="eastAsia"/>
          <w:szCs w:val="24"/>
        </w:rPr>
        <w:t>：</w:t>
      </w:r>
      <w:r>
        <w:rPr>
          <w:szCs w:val="24"/>
        </w:rPr>
        <w:t xml:space="preserve"> + 44 (0)1725 518321</w:t>
      </w:r>
    </w:p>
    <w:p>
      <w:pPr>
        <w:spacing w:after="0"/>
        <w:rPr>
          <w:szCs w:val="24"/>
        </w:rPr>
      </w:pPr>
      <w:hyperlink r:id="rId15" w:history="1">
        <w:r>
          <w:rPr>
            <w:rStyle w:val="Hyperlink"/>
            <w:rFonts w:cs="Calibri"/>
            <w:noProof/>
            <w:szCs w:val="24"/>
          </w:rPr>
          <w:t>nigel.may@parkfield.co.uk</w:t>
        </w:r>
      </w:hyperlink>
      <w:r>
        <w:rPr>
          <w:noProof/>
          <w:szCs w:val="24"/>
        </w:rPr>
        <w:t xml:space="preserve"> </w:t>
      </w:r>
    </w:p>
    <w:p>
      <w:pPr>
        <w:spacing w:after="0"/>
        <w:rPr>
          <w:szCs w:val="24"/>
        </w:rPr>
      </w:pPr>
      <w:hyperlink r:id="rId16" w:history="1">
        <w:r>
          <w:rPr>
            <w:rStyle w:val="Hyperlink"/>
            <w:rFonts w:cs="Calibri"/>
            <w:noProof/>
            <w:szCs w:val="24"/>
          </w:rPr>
          <w:t>parkfield.co.uk</w:t>
        </w:r>
      </w:hyperlink>
      <w:r>
        <w:rPr>
          <w:noProof/>
          <w:szCs w:val="24"/>
        </w:rPr>
        <w:t xml:space="preserve"> </w:t>
      </w:r>
    </w:p>
    <w:p>
      <w:pPr>
        <w:spacing w:line="260" w:lineRule="auto"/>
        <w:rPr>
          <w:szCs w:val="24"/>
        </w:rPr>
      </w:pPr>
      <w:r>
        <w:rPr>
          <w:szCs w:val="24"/>
        </w:rPr>
        <w:br/>
        <w:t>E2S</w:t>
      </w:r>
      <w:r>
        <w:rPr>
          <w:rFonts w:hint="eastAsia"/>
          <w:szCs w:val="24"/>
          <w:lang w:val="zh-CN"/>
        </w:rPr>
        <w:t>是世界领先的独立信号产品制造商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设计并制造全套工业环境、海洋环境以及危险区域环境用信号产品。公司总部位于英格兰西伦敦。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产品通过销售网络行销全球。经销商详情见公司网站。另外</w:t>
      </w:r>
      <w:r>
        <w:rPr>
          <w:rFonts w:hint="eastAsia"/>
          <w:szCs w:val="24"/>
          <w:lang w:val="en-US"/>
        </w:rPr>
        <w:t>，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在得克萨斯州休斯敦设有专门的经销中心</w:t>
      </w:r>
      <w:r>
        <w:rPr>
          <w:rFonts w:hint="eastAsia"/>
          <w:szCs w:val="24"/>
          <w:lang w:val="en-US"/>
        </w:rPr>
        <w:t>，</w:t>
      </w:r>
      <w:r>
        <w:rPr>
          <w:rFonts w:hint="eastAsia"/>
          <w:szCs w:val="24"/>
          <w:lang w:val="zh-CN"/>
        </w:rPr>
        <w:t>负责当地产品经销和技术支持。</w:t>
      </w:r>
    </w:p>
    <w:p>
      <w:pPr>
        <w:spacing w:after="0"/>
        <w:rPr>
          <w:szCs w:val="24"/>
        </w:rPr>
      </w:pPr>
      <w:r>
        <w:rPr>
          <w:noProof/>
          <w:szCs w:val="24"/>
        </w:rPr>
        <w:t>E2S Warning Signals</w:t>
      </w:r>
    </w:p>
    <w:p>
      <w:pPr>
        <w:spacing w:after="0"/>
        <w:rPr>
          <w:szCs w:val="24"/>
        </w:rPr>
      </w:pPr>
      <w:r>
        <w:rPr>
          <w:noProof/>
          <w:szCs w:val="24"/>
        </w:rPr>
        <w:t>Impress House</w:t>
      </w:r>
    </w:p>
    <w:p>
      <w:pPr>
        <w:spacing w:after="0"/>
        <w:rPr>
          <w:szCs w:val="24"/>
        </w:rPr>
      </w:pPr>
      <w:r>
        <w:rPr>
          <w:noProof/>
          <w:szCs w:val="24"/>
        </w:rPr>
        <w:t>Mansell Road</w:t>
      </w:r>
    </w:p>
    <w:p>
      <w:pPr>
        <w:spacing w:after="0"/>
        <w:rPr>
          <w:szCs w:val="24"/>
        </w:rPr>
      </w:pPr>
      <w:r>
        <w:rPr>
          <w:noProof/>
          <w:szCs w:val="24"/>
        </w:rPr>
        <w:t>London</w:t>
      </w:r>
    </w:p>
    <w:p>
      <w:pPr>
        <w:spacing w:after="0"/>
        <w:rPr>
          <w:szCs w:val="24"/>
        </w:rPr>
      </w:pPr>
      <w:r>
        <w:rPr>
          <w:noProof/>
          <w:szCs w:val="24"/>
        </w:rPr>
        <w:t>W3 7QH</w:t>
      </w:r>
    </w:p>
    <w:p>
      <w:pPr>
        <w:spacing w:after="0"/>
        <w:rPr>
          <w:szCs w:val="24"/>
        </w:rPr>
      </w:pPr>
      <w:r>
        <w:rPr>
          <w:noProof/>
          <w:szCs w:val="24"/>
        </w:rPr>
        <w:t>Great Britain</w:t>
      </w:r>
    </w:p>
    <w:p>
      <w:pPr>
        <w:spacing w:after="0" w:line="260" w:lineRule="auto"/>
        <w:rPr>
          <w:szCs w:val="24"/>
        </w:rPr>
      </w:pPr>
      <w:r>
        <w:rPr>
          <w:rFonts w:hint="eastAsia"/>
          <w:szCs w:val="24"/>
          <w:lang w:val="zh-CN"/>
        </w:rPr>
        <w:t>电话：</w:t>
      </w:r>
      <w:r>
        <w:rPr>
          <w:szCs w:val="24"/>
        </w:rPr>
        <w:t xml:space="preserve"> + 44 (0)20 8743 8880</w:t>
      </w:r>
    </w:p>
    <w:p>
      <w:pPr>
        <w:spacing w:after="0" w:line="260" w:lineRule="auto"/>
        <w:rPr>
          <w:szCs w:val="24"/>
        </w:rPr>
      </w:pPr>
      <w:r>
        <w:rPr>
          <w:rFonts w:hint="eastAsia"/>
          <w:szCs w:val="24"/>
          <w:lang w:val="zh-CN"/>
        </w:rPr>
        <w:t>传真：</w:t>
      </w:r>
      <w:r>
        <w:rPr>
          <w:szCs w:val="24"/>
        </w:rPr>
        <w:t xml:space="preserve"> + 44 (0)20 8740 4200</w:t>
      </w:r>
    </w:p>
    <w:p>
      <w:pPr>
        <w:spacing w:after="0"/>
        <w:rPr>
          <w:szCs w:val="24"/>
        </w:rPr>
      </w:pPr>
      <w:hyperlink r:id="rId17" w:history="1">
        <w:r>
          <w:rPr>
            <w:rStyle w:val="Hyperlink"/>
            <w:rFonts w:cs="Calibri"/>
            <w:noProof/>
            <w:szCs w:val="24"/>
          </w:rPr>
          <w:t>sales@e2s.com</w:t>
        </w:r>
      </w:hyperlink>
      <w:r>
        <w:rPr>
          <w:noProof/>
          <w:szCs w:val="24"/>
        </w:rPr>
        <w:t xml:space="preserve"> </w:t>
      </w:r>
    </w:p>
    <w:p>
      <w:pPr>
        <w:tabs>
          <w:tab w:val="left" w:pos="851"/>
          <w:tab w:val="right" w:pos="9072"/>
        </w:tabs>
        <w:rPr>
          <w:szCs w:val="24"/>
        </w:rPr>
      </w:pPr>
      <w:hyperlink r:id="rId18" w:history="1">
        <w:r>
          <w:rPr>
            <w:rStyle w:val="Hyperlink"/>
            <w:noProof/>
            <w:szCs w:val="24"/>
          </w:rPr>
          <w:t>e2s.com</w:t>
        </w:r>
      </w:hyperlink>
    </w:p>
    <w:p/>
    <w:p>
      <w:pPr>
        <w:spacing w:after="0" w:line="240" w:lineRule="auto"/>
      </w:pPr>
      <w:r>
        <w:rPr>
          <w:rFonts w:ascii="MingLiU" w:eastAsia="MingLiU" w:hAnsi="MingLiU"/>
          <w:lang w:val="pt-BR"/>
        </w:rPr>
        <w:br/>
      </w:r>
      <w:r>
        <w:rPr>
          <w:rFonts w:ascii="MingLiU" w:eastAsia="MingLiU" w:hAnsi="MingLiU"/>
          <w:lang w:val="pt-BR"/>
        </w:rPr>
        <w:br/>
      </w:r>
      <w:r>
        <w:rPr>
          <w:rFonts w:ascii="MingLiU" w:eastAsia="MingLiU" w:hAnsi="MingLiU"/>
          <w:lang w:val="pt-BR"/>
        </w:rPr>
        <w:br/>
      </w:r>
      <w:r>
        <w:rPr>
          <w:rFonts w:ascii="MingLiU" w:eastAsia="MingLiU" w:hAnsi="MingLiU"/>
          <w:lang w:val="pt-BR"/>
        </w:rPr>
        <w:br/>
      </w:r>
      <w:r>
        <w:rPr>
          <w:rFonts w:ascii="MingLiU" w:eastAsia="MingLiU" w:hAnsi="MingLiU"/>
          <w:lang w:val="pt-BR"/>
        </w:rPr>
        <w:br/>
      </w:r>
      <w:r>
        <w:rPr>
          <w:rFonts w:ascii="MingLiU" w:eastAsia="MingLiU" w:hAnsi="MingLiU"/>
          <w:lang w:val="pt-BR"/>
        </w:rPr>
        <w:br/>
      </w:r>
      <w:r>
        <w:rPr>
          <w:rFonts w:ascii="MingLiU" w:eastAsia="MingLiU" w:hAnsi="MingLiU"/>
          <w:lang w:val="pt-BR"/>
        </w:rPr>
        <w:br/>
      </w:r>
    </w:p>
    <w:sectPr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56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0D01C-1A47-4269-9CD0-2128724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SimSun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rPr>
      <w:rFonts w:cs="Times New Roman"/>
      <w:color w:val="0563C1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SimSun"/>
      <w:sz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SimSun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SimSun"/>
      <w:szCs w:val="22"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2s.com/products/hazardous-area-signalling/family/rn020" TargetMode="External"/><Relationship Id="rId13" Type="http://schemas.openxmlformats.org/officeDocument/2006/relationships/hyperlink" Target="https://www.e2s.com/products/fire-and-industrial/type/manual-alarm-call-points" TargetMode="External"/><Relationship Id="rId18" Type="http://schemas.openxmlformats.org/officeDocument/2006/relationships/hyperlink" Target="http://www.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2s.com/products/hazardous-area/type/manual-alarm-call-points" TargetMode="External"/><Relationship Id="rId12" Type="http://schemas.openxmlformats.org/officeDocument/2006/relationships/hyperlink" Target="https://www.e2s.com/products/fire-and-industrial/type/manual-alarm-call-points" TargetMode="External"/><Relationship Id="rId17" Type="http://schemas.openxmlformats.org/officeDocument/2006/relationships/hyperlink" Target="mailto:sales@e2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rkfield.co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arkfield.co.uk/e2s/" TargetMode="External"/><Relationship Id="rId11" Type="http://schemas.openxmlformats.org/officeDocument/2006/relationships/hyperlink" Target="https://www.e2s.com/products/hazardous-area-signalling/family/rn025" TargetMode="External"/><Relationship Id="rId5" Type="http://schemas.openxmlformats.org/officeDocument/2006/relationships/hyperlink" Target="https://www.parkfield.co.uk/e2s/mcp-updates-cn.docx" TargetMode="External"/><Relationship Id="rId15" Type="http://schemas.openxmlformats.org/officeDocument/2006/relationships/hyperlink" Target="mailto:nigel.may@parkfield.co.uk" TargetMode="External"/><Relationship Id="rId10" Type="http://schemas.openxmlformats.org/officeDocument/2006/relationships/hyperlink" Target="https://www.e2s.com/products/hazardous-area-signalling/family/rn03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parkfield.co.uk/e2s/mcp-updates-print.jpg" TargetMode="External"/><Relationship Id="rId9" Type="http://schemas.openxmlformats.org/officeDocument/2006/relationships/hyperlink" Target="https://www.e2s.com/products/hazardous-area-signalling/family/rn030" TargetMode="External"/><Relationship Id="rId14" Type="http://schemas.openxmlformats.org/officeDocument/2006/relationships/hyperlink" Target="https://www.e2s.com/products/fire-and-industrial/type/manual-alarm-call-poi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dc:description/>
  <cp:lastModifiedBy>Nigel</cp:lastModifiedBy>
  <cp:revision>3</cp:revision>
  <dcterms:created xsi:type="dcterms:W3CDTF">2020-10-27T09:25:00Z</dcterms:created>
  <dcterms:modified xsi:type="dcterms:W3CDTF">2020-10-27T09:25:00Z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