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spacing w:after="0" w:line="240" w:lineRule="auto"/>
        <w:rPr>
          <w:rFonts w:cstheme="minorHAnsi"/>
          <w:bCs/>
          <w:color w:val="C00000"/>
          <w:kern w:val="2"/>
          <w:sz w:val="52"/>
          <w:szCs w:val="52"/>
          <w:lang w:val="es-ES"/>
        </w:rPr>
      </w:pPr>
      <w:r>
        <w:rPr>
          <w:rFonts w:cstheme="minorHAnsi"/>
          <w:bCs/>
          <w:color w:val="C00000"/>
          <w:kern w:val="2"/>
          <w:sz w:val="50"/>
          <w:szCs w:val="50"/>
          <w:lang w:val="es-ES"/>
        </w:rPr>
        <w:t>Información para la prensa</w:t>
      </w:r>
    </w:p>
    <w:p>
      <w:pPr>
        <w:tabs>
          <w:tab w:val="left" w:pos="851"/>
          <w:tab w:val="right" w:pos="9072"/>
        </w:tabs>
        <w:rPr>
          <w:rFonts w:cstheme="minorHAnsi"/>
          <w:bCs/>
          <w:kern w:val="2"/>
          <w:lang w:val="es-ES"/>
        </w:rPr>
      </w:pPr>
      <w:proofErr w:type="spellStart"/>
      <w:r>
        <w:rPr>
          <w:rFonts w:cs="Calibri"/>
        </w:rPr>
        <w:t>Publicado</w:t>
      </w:r>
      <w:proofErr w:type="spellEnd"/>
      <w:r>
        <w:rPr>
          <w:rFonts w:cs="Calibri"/>
        </w:rPr>
        <w:t xml:space="preserve"> </w:t>
      </w:r>
      <w:r>
        <w:rPr>
          <w:rFonts w:cs="Calibri"/>
          <w:lang w:val="es-ES"/>
        </w:rPr>
        <w:t>27 de octubre de 2020</w:t>
      </w:r>
    </w:p>
    <w:p>
      <w:pPr>
        <w:tabs>
          <w:tab w:val="left" w:pos="851"/>
          <w:tab w:val="right" w:pos="9072"/>
        </w:tabs>
        <w:spacing w:after="0" w:line="240" w:lineRule="auto"/>
        <w:rPr>
          <w:rFonts w:cstheme="minorHAnsi"/>
          <w:bCs/>
          <w:kern w:val="2"/>
          <w:lang w:val="es-ES"/>
        </w:rPr>
      </w:pPr>
      <w:r>
        <w:rPr>
          <w:rFonts w:cstheme="minorHAnsi"/>
          <w:bCs/>
          <w:kern w:val="2"/>
          <w:lang w:val="es-ES"/>
        </w:rPr>
        <w:t>Para descargar imagen para impresión de calidad 300dpi,</w:t>
      </w:r>
    </w:p>
    <w:p>
      <w:pPr>
        <w:tabs>
          <w:tab w:val="left" w:pos="851"/>
          <w:tab w:val="right" w:pos="9072"/>
        </w:tabs>
        <w:spacing w:after="0" w:line="240" w:lineRule="auto"/>
        <w:rPr>
          <w:lang w:val="es-ES"/>
        </w:rPr>
      </w:pPr>
      <w:r>
        <w:rPr>
          <w:rFonts w:cstheme="minorHAnsi"/>
          <w:bCs/>
          <w:kern w:val="2"/>
          <w:lang w:val="es-ES"/>
        </w:rPr>
        <w:t>visite</w:t>
      </w:r>
      <w:r>
        <w:rPr>
          <w:rFonts w:cstheme="minorHAnsi"/>
          <w:b/>
          <w:bCs/>
          <w:kern w:val="2"/>
          <w:lang w:val="es-ES"/>
        </w:rPr>
        <w:t xml:space="preserve"> </w:t>
      </w:r>
      <w:hyperlink r:id="rId5">
        <w:r>
          <w:rPr>
            <w:rFonts w:cstheme="minorHAnsi"/>
            <w:bCs/>
            <w:color w:val="0000FF"/>
            <w:kern w:val="2"/>
            <w:u w:val="single"/>
            <w:lang w:val="es-ES"/>
          </w:rPr>
          <w:t>parkfield.co.uk/e2s/mcp-updates-print.jpg</w:t>
        </w:r>
      </w:hyperlink>
    </w:p>
    <w:p>
      <w:pPr>
        <w:spacing w:after="0" w:line="240" w:lineRule="auto"/>
        <w:rPr>
          <w:rFonts w:cstheme="minorHAnsi"/>
          <w:color w:val="000000"/>
          <w:lang w:val="es-ES_tradnl"/>
        </w:rPr>
      </w:pPr>
    </w:p>
    <w:p>
      <w:pPr>
        <w:spacing w:after="0" w:line="240" w:lineRule="auto"/>
        <w:rPr>
          <w:lang w:val="es-ES"/>
        </w:rPr>
      </w:pPr>
      <w:r>
        <w:rPr>
          <w:rFonts w:cstheme="minorHAnsi"/>
          <w:color w:val="000000"/>
          <w:lang w:val="es-ES_tradnl"/>
        </w:rPr>
        <w:t xml:space="preserve">Para descargar un archivo Word del texto, vaya a </w:t>
      </w:r>
      <w:hyperlink r:id="rId6">
        <w:r>
          <w:rPr>
            <w:rFonts w:cstheme="minorHAnsi"/>
            <w:bCs/>
            <w:color w:val="0000FF"/>
            <w:kern w:val="2"/>
            <w:u w:val="single"/>
            <w:lang w:val="es-ES"/>
          </w:rPr>
          <w:t>parkfield.co.uk/e2s/mcp-updates-es.docx</w:t>
        </w:r>
      </w:hyperlink>
    </w:p>
    <w:p>
      <w:pPr>
        <w:widowControl w:val="0"/>
        <w:tabs>
          <w:tab w:val="left" w:pos="0"/>
          <w:tab w:val="left" w:pos="851"/>
          <w:tab w:val="right" w:pos="9064"/>
        </w:tabs>
        <w:spacing w:after="0" w:line="240" w:lineRule="auto"/>
        <w:rPr>
          <w:lang w:val="es-ES"/>
        </w:rPr>
      </w:pPr>
      <w:r>
        <w:rPr>
          <w:rFonts w:eastAsia="Calibri" w:cstheme="minorHAnsi"/>
          <w:color w:val="000000" w:themeColor="text1"/>
          <w:lang w:val="es-ES" w:eastAsia="en-GB"/>
        </w:rPr>
        <w:br/>
        <w:t>Para obtener más información visite la página:</w:t>
      </w:r>
      <w:r>
        <w:rPr>
          <w:rFonts w:eastAsia="Calibri" w:cstheme="minorHAnsi"/>
          <w:color w:val="FF0000"/>
          <w:lang w:val="es-ES" w:eastAsia="en-GB"/>
        </w:rPr>
        <w:t xml:space="preserve">  </w:t>
      </w:r>
      <w:hyperlink r:id="rId7" w:history="1">
        <w:r>
          <w:rPr>
            <w:rStyle w:val="Hyperlink"/>
            <w:rFonts w:eastAsia="Calibri" w:cstheme="minorHAnsi"/>
            <w:lang w:val="es-ES" w:eastAsia="en-GB"/>
          </w:rPr>
          <w:t>parkfield.co.uk/e2s/</w:t>
        </w:r>
      </w:hyperlink>
      <w:r>
        <w:rPr>
          <w:rFonts w:eastAsia="Calibri" w:cstheme="minorHAnsi"/>
          <w:color w:val="FF0000"/>
          <w:lang w:val="es-ES" w:eastAsia="en-GB"/>
        </w:rPr>
        <w:t xml:space="preserve"> </w:t>
      </w:r>
      <w:r>
        <w:rPr>
          <w:rFonts w:eastAsia="Calibri" w:cstheme="minorHAnsi"/>
          <w:color w:val="FF0000"/>
          <w:lang w:val="es-ES" w:eastAsia="en-GB"/>
        </w:rPr>
        <w:br/>
      </w:r>
    </w:p>
    <w:p>
      <w:pPr>
        <w:tabs>
          <w:tab w:val="left" w:pos="851"/>
          <w:tab w:val="right" w:pos="9072"/>
        </w:tabs>
        <w:spacing w:after="0" w:line="240" w:lineRule="auto"/>
        <w:rPr>
          <w:b/>
          <w:lang w:val="es-ES"/>
        </w:rPr>
      </w:pPr>
      <w:r>
        <w:rPr>
          <w:b/>
          <w:lang w:val="es-ES"/>
        </w:rPr>
        <w:t>La gama más extensa de MCP del mundo ha sido mejorada, de nuevo</w:t>
      </w:r>
    </w:p>
    <w:p>
      <w:pPr>
        <w:tabs>
          <w:tab w:val="left" w:pos="851"/>
          <w:tab w:val="right" w:pos="9072"/>
        </w:tabs>
        <w:spacing w:after="0" w:line="240" w:lineRule="auto"/>
        <w:jc w:val="center"/>
        <w:rPr>
          <w:b/>
          <w:lang w:val="es-ES"/>
        </w:rPr>
      </w:pPr>
    </w:p>
    <w:p>
      <w:pPr>
        <w:tabs>
          <w:tab w:val="left" w:pos="851"/>
          <w:tab w:val="right" w:pos="9072"/>
        </w:tabs>
        <w:spacing w:after="0" w:line="240" w:lineRule="auto"/>
        <w:rPr>
          <w:lang w:val="es-ES"/>
        </w:rPr>
      </w:pPr>
      <w:r>
        <w:rPr>
          <w:lang w:val="es-ES"/>
        </w:rPr>
        <w:t xml:space="preserve">E2S </w:t>
      </w:r>
      <w:proofErr w:type="spellStart"/>
      <w:r>
        <w:rPr>
          <w:lang w:val="es-ES"/>
        </w:rPr>
        <w:t>Warning</w:t>
      </w:r>
      <w:proofErr w:type="spellEnd"/>
      <w:r>
        <w:rPr>
          <w:lang w:val="es-ES"/>
        </w:rPr>
        <w:t xml:space="preserve"> </w:t>
      </w:r>
      <w:proofErr w:type="spellStart"/>
      <w:r>
        <w:rPr>
          <w:lang w:val="es-ES"/>
        </w:rPr>
        <w:t>Signals</w:t>
      </w:r>
      <w:proofErr w:type="spellEnd"/>
      <w:r>
        <w:rPr>
          <w:lang w:val="es-ES"/>
        </w:rPr>
        <w:t xml:space="preserve"> fabrica una extensa gama de </w:t>
      </w:r>
      <w:hyperlink r:id="rId8" w:history="1">
        <w:r>
          <w:rPr>
            <w:rStyle w:val="Hyperlink"/>
            <w:lang w:val="es-ES"/>
          </w:rPr>
          <w:t>puntos de llamada manuales, MCP</w:t>
        </w:r>
      </w:hyperlink>
      <w:r>
        <w:rPr>
          <w:lang w:val="es-ES"/>
        </w:rPr>
        <w:t xml:space="preserve">, diseñados para su instalación en áreas peligrosas, principalmente para el control de sistemas de alarma y detección de incendios y gas. Están disponibles en diferentes materiales de caja: STEx en acero inoxidable 316L para el uso en los entornos más duros, GNEx en GRP antiestático, resistente a la corrosión y estable a los rayos UV, y BEx en aluminio LM6 (A413) sin cobre de grado marino resistente a la corrosión con acabado cromado y recubrimiento de polvo. Los especificadores pueden elegir el tipo de caja más adecuado para el lugar de instalación y el entorno operativo. Se puede elegir entre cuatro mecanismos de funcionamiento. El tradicional cristal de rotura incorpora una lengüeta protectora de elevación para minimizar el funcionamiento accidental, con una membrana de seguridad para garantizar que no se liberen fragmentos de cristal durante la activación. Se requiere un botón pulsador en el que el mecanismo de funcionamiento está protegido de nuevo por una lengüeta de elevación con enclavamiento y una herramienta para restablecer la unidad tras la operación, una unidad de botón pulsador de acción momentánea y un botón pulsador de doble acción, que requiere que el mecanismo de funcionamiento gire 90° y después se pulse para activarlo. Todas las versiones son conformes SIL2 según IEC 61508 (2010). Para reducir el tiempo y el coste de la instalación, hay dos entradas de cable en la parte superior y otra en el lateral de la caja. La caja trasera se puede girar 180° para colocar las entradas en la dirección deseada. Se suministran como estándar dos tapones de parada M20, definibles por el usuario, en latón, acero inoxidable o latón niquelado. También están disponibles adaptadores NPT de ½” y ¾” y M25. </w:t>
      </w:r>
    </w:p>
    <w:p>
      <w:pPr>
        <w:tabs>
          <w:tab w:val="left" w:pos="851"/>
          <w:tab w:val="right" w:pos="9072"/>
        </w:tabs>
        <w:spacing w:after="0" w:line="240" w:lineRule="auto"/>
        <w:rPr>
          <w:lang w:val="es-ES"/>
        </w:rPr>
      </w:pPr>
    </w:p>
    <w:p>
      <w:pPr>
        <w:tabs>
          <w:tab w:val="left" w:pos="851"/>
          <w:tab w:val="right" w:pos="9072"/>
        </w:tabs>
        <w:spacing w:after="0" w:line="240" w:lineRule="auto"/>
        <w:rPr>
          <w:lang w:val="es-ES"/>
        </w:rPr>
      </w:pPr>
      <w:r>
        <w:rPr>
          <w:lang w:val="es-ES"/>
        </w:rPr>
        <w:t xml:space="preserve">Las últimas actualizaciones incluyen los puntos de llamada </w:t>
      </w:r>
      <w:hyperlink r:id="rId9" w:history="1">
        <w:r>
          <w:rPr>
            <w:rStyle w:val="Hyperlink"/>
            <w:lang w:val="es-ES"/>
          </w:rPr>
          <w:t>BExCP3C</w:t>
        </w:r>
      </w:hyperlink>
      <w:r>
        <w:rPr>
          <w:lang w:val="es-ES"/>
        </w:rPr>
        <w:t xml:space="preserve"> y </w:t>
      </w:r>
      <w:hyperlink r:id="rId10" w:history="1">
        <w:r>
          <w:rPr>
            <w:rStyle w:val="Hyperlink"/>
            <w:lang w:val="es-ES"/>
          </w:rPr>
          <w:t>GNExCP6C</w:t>
        </w:r>
      </w:hyperlink>
      <w:r>
        <w:rPr>
          <w:lang w:val="es-ES"/>
        </w:rPr>
        <w:t xml:space="preserve">, ahora con temperaturas aprobadas ampliadas y un rango más amplio de valores de resistencias EOL y en serie, certificados según las normas IECEx y ATEX con certificaciones adicionales PESO, INMETRO y Ex EAC. Las unidades Ex d </w:t>
      </w:r>
      <w:hyperlink r:id="rId11" w:history="1">
        <w:r>
          <w:rPr>
            <w:rStyle w:val="Hyperlink"/>
            <w:lang w:val="es-ES"/>
          </w:rPr>
          <w:t>GNExCP7</w:t>
        </w:r>
      </w:hyperlink>
      <w:r>
        <w:rPr>
          <w:lang w:val="es-ES"/>
        </w:rPr>
        <w:t xml:space="preserve"> están mundialmente certificadas según las normas IECEx, ATEX, UL y cUL para todas las Zonas 1, 2, 21 y 22 e instalaciones de Clase I/II Div 2 con una variante certificada según UL 38, Cajas de señalización manual para Sistemas de alarma de incendios y Sistemas de alarma de incendios y Estaciones manuales ULC-S528. El sistema ignífugo </w:t>
      </w:r>
      <w:hyperlink r:id="rId12" w:history="1">
        <w:r>
          <w:rPr>
            <w:rStyle w:val="Hyperlink"/>
            <w:lang w:val="es-ES"/>
          </w:rPr>
          <w:t>STExCP8</w:t>
        </w:r>
      </w:hyperlink>
      <w:r>
        <w:rPr>
          <w:lang w:val="es-ES"/>
        </w:rPr>
        <w:t xml:space="preserve"> está certificado según ATEX e IECEx para Zona 1 y 2 y también tiene la certificación tipo DNV para lugares expuestos.  Para instalaciones fuera de áreas peligrosas, ya están disponibles las versiones resistentes a la intemperie IP66/IP67 y las unidades de puntos de llamada </w:t>
      </w:r>
      <w:hyperlink r:id="rId13" w:history="1">
        <w:r>
          <w:rPr>
            <w:rStyle w:val="Hyperlink"/>
            <w:lang w:val="es-ES"/>
          </w:rPr>
          <w:t>WP3</w:t>
        </w:r>
      </w:hyperlink>
      <w:r>
        <w:rPr>
          <w:lang w:val="es-ES"/>
        </w:rPr>
        <w:t xml:space="preserve">, </w:t>
      </w:r>
      <w:hyperlink r:id="rId14" w:history="1">
        <w:r>
          <w:rPr>
            <w:rStyle w:val="Hyperlink"/>
            <w:lang w:val="es-ES"/>
          </w:rPr>
          <w:t xml:space="preserve">WP6 </w:t>
        </w:r>
      </w:hyperlink>
      <w:r>
        <w:rPr>
          <w:lang w:val="es-ES"/>
        </w:rPr>
        <w:t xml:space="preserve">y </w:t>
      </w:r>
      <w:hyperlink r:id="rId15" w:history="1">
        <w:r>
          <w:rPr>
            <w:rStyle w:val="Hyperlink"/>
            <w:lang w:val="es-ES"/>
          </w:rPr>
          <w:t>WP7</w:t>
        </w:r>
      </w:hyperlink>
      <w:r>
        <w:rPr>
          <w:lang w:val="es-ES"/>
        </w:rPr>
        <w:t>.</w:t>
      </w:r>
    </w:p>
    <w:p>
      <w:pPr>
        <w:tabs>
          <w:tab w:val="left" w:pos="851"/>
          <w:tab w:val="right" w:pos="9072"/>
        </w:tabs>
        <w:spacing w:after="0" w:line="240" w:lineRule="auto"/>
        <w:rPr>
          <w:lang w:val="es-ES"/>
        </w:rPr>
      </w:pPr>
    </w:p>
    <w:p>
      <w:pPr>
        <w:tabs>
          <w:tab w:val="left" w:pos="851"/>
          <w:tab w:val="right" w:pos="9072"/>
        </w:tabs>
        <w:spacing w:after="0" w:line="240" w:lineRule="auto"/>
        <w:rPr>
          <w:bCs/>
          <w:lang w:val="es-ES"/>
        </w:rPr>
      </w:pPr>
      <w:r>
        <w:rPr>
          <w:lang w:val="es-ES"/>
        </w:rPr>
        <w:t>*** Fin: cuerpo del texto 451 palabras ***</w:t>
      </w:r>
    </w:p>
    <w:p>
      <w:pPr>
        <w:widowControl w:val="0"/>
        <w:tabs>
          <w:tab w:val="left" w:pos="0"/>
          <w:tab w:val="left" w:pos="851"/>
          <w:tab w:val="right" w:pos="9064"/>
        </w:tabs>
        <w:spacing w:after="0" w:line="240" w:lineRule="auto"/>
        <w:rPr>
          <w:lang w:val="es-ES"/>
        </w:rPr>
      </w:pPr>
    </w:p>
    <w:p>
      <w:pPr>
        <w:spacing w:after="0" w:line="240" w:lineRule="auto"/>
        <w:rPr>
          <w:rFonts w:cs="Arial"/>
          <w:b/>
          <w:lang w:val="es-ES" w:eastAsia="en-GB"/>
        </w:rPr>
      </w:pPr>
      <w:r>
        <w:rPr>
          <w:rFonts w:cs="Arial"/>
          <w:b/>
          <w:lang w:val="es-ES" w:eastAsia="en-GB"/>
        </w:rPr>
        <w:t>Notas a los editores.</w:t>
      </w:r>
    </w:p>
    <w:p>
      <w:pPr>
        <w:spacing w:after="0" w:line="240" w:lineRule="auto"/>
        <w:rPr>
          <w:rFonts w:cs="Arial"/>
          <w:lang w:val="es-ES" w:eastAsia="en-GB"/>
        </w:rPr>
      </w:pPr>
    </w:p>
    <w:p>
      <w:pPr>
        <w:spacing w:after="0" w:line="240" w:lineRule="auto"/>
        <w:rPr>
          <w:rFonts w:cs="Arial"/>
          <w:lang w:val="es-ES" w:eastAsia="en-GB"/>
        </w:rPr>
      </w:pPr>
      <w:r>
        <w:rPr>
          <w:rFonts w:cs="Arial"/>
          <w:lang w:val="es-ES" w:eastAsia="en-GB"/>
        </w:rPr>
        <w:t>Para cualquier cuestión de seguimiento, contacte con:</w:t>
      </w:r>
      <w:r>
        <w:rPr>
          <w:rFonts w:cs="Arial"/>
          <w:lang w:val="es-ES" w:eastAsia="en-GB"/>
        </w:rPr>
        <w:tab/>
      </w:r>
    </w:p>
    <w:p>
      <w:pPr>
        <w:spacing w:after="0" w:line="240" w:lineRule="auto"/>
        <w:rPr>
          <w:rFonts w:cs="Arial"/>
          <w:lang w:val="es-ES" w:eastAsia="en-GB"/>
        </w:rPr>
      </w:pPr>
    </w:p>
    <w:p>
      <w:pPr>
        <w:spacing w:after="0" w:line="240" w:lineRule="auto"/>
        <w:rPr>
          <w:rFonts w:cs="Arial"/>
          <w:lang w:eastAsia="en-GB"/>
        </w:rPr>
      </w:pPr>
      <w:r>
        <w:rPr>
          <w:rFonts w:cs="Arial"/>
          <w:lang w:eastAsia="en-GB"/>
        </w:rPr>
        <w:t>Nigel May</w:t>
      </w:r>
      <w:r>
        <w:rPr>
          <w:rFonts w:cs="Arial"/>
          <w:lang w:eastAsia="en-GB"/>
        </w:rPr>
        <w:tab/>
      </w:r>
    </w:p>
    <w:p>
      <w:pPr>
        <w:spacing w:after="0" w:line="240" w:lineRule="auto"/>
        <w:rPr>
          <w:rFonts w:cs="Arial"/>
          <w:lang w:eastAsia="en-GB"/>
        </w:rPr>
      </w:pPr>
      <w:r>
        <w:rPr>
          <w:rFonts w:cs="Arial"/>
          <w:lang w:eastAsia="en-GB"/>
        </w:rPr>
        <w:t>Parkfield Communications Limited</w:t>
      </w:r>
    </w:p>
    <w:p>
      <w:pPr>
        <w:spacing w:after="0" w:line="240" w:lineRule="auto"/>
        <w:rPr>
          <w:rFonts w:cs="Arial"/>
          <w:lang w:val="en-US" w:eastAsia="en-GB"/>
        </w:rPr>
      </w:pPr>
      <w:r>
        <w:rPr>
          <w:rFonts w:cs="Arial"/>
          <w:lang w:val="en-US" w:eastAsia="en-GB"/>
        </w:rPr>
        <w:lastRenderedPageBreak/>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es-ES" w:eastAsia="en-GB"/>
        </w:rPr>
      </w:pPr>
      <w:r>
        <w:rPr>
          <w:rFonts w:cs="Arial"/>
          <w:lang w:val="es-ES" w:eastAsia="en-GB"/>
        </w:rPr>
        <w:t>SP6 3HQ</w:t>
      </w:r>
    </w:p>
    <w:p>
      <w:pPr>
        <w:spacing w:after="0" w:line="240" w:lineRule="auto"/>
        <w:rPr>
          <w:rFonts w:cs="Arial"/>
          <w:lang w:val="es-ES" w:eastAsia="en-GB"/>
        </w:rPr>
      </w:pPr>
      <w:r>
        <w:rPr>
          <w:rFonts w:cs="Arial"/>
          <w:lang w:val="es-ES" w:eastAsia="en-GB"/>
        </w:rPr>
        <w:t>Gran Bretaña</w:t>
      </w:r>
    </w:p>
    <w:p>
      <w:pPr>
        <w:spacing w:after="0" w:line="240" w:lineRule="auto"/>
        <w:rPr>
          <w:rFonts w:cs="Arial"/>
          <w:lang w:val="es-ES" w:eastAsia="en-GB"/>
        </w:rPr>
      </w:pPr>
      <w:r>
        <w:rPr>
          <w:rFonts w:cs="Arial"/>
          <w:lang w:val="es-ES" w:eastAsia="en-GB"/>
        </w:rPr>
        <w:t>Tel: + 44 (0)1725 518321</w:t>
      </w:r>
    </w:p>
    <w:bookmarkStart w:id="0" w:name="_GoBack"/>
    <w:bookmarkEnd w:id="0"/>
    <w:p>
      <w:pPr>
        <w:spacing w:after="0" w:line="240" w:lineRule="auto"/>
        <w:rPr>
          <w:rFonts w:cs="Arial"/>
          <w:lang w:val="es-ES" w:eastAsia="en-GB"/>
        </w:rPr>
      </w:pPr>
      <w:r>
        <w:fldChar w:fldCharType="begin"/>
      </w:r>
      <w:r>
        <w:rPr>
          <w:lang w:val="es-ES"/>
        </w:rPr>
        <w:instrText xml:space="preserve"> HYPERLINK "mailto:nigel.may@parkfield.co.uk" </w:instrText>
      </w:r>
      <w:r>
        <w:fldChar w:fldCharType="separate"/>
      </w:r>
      <w:r>
        <w:rPr>
          <w:rStyle w:val="Hyperlink"/>
          <w:rFonts w:cs="Arial"/>
          <w:lang w:val="es-ES" w:eastAsia="en-GB"/>
        </w:rPr>
        <w:t>nigel.may@parkfield.co.uk</w:t>
      </w:r>
      <w:r>
        <w:rPr>
          <w:rStyle w:val="Hyperlink"/>
          <w:rFonts w:cs="Arial"/>
          <w:lang w:val="es-ES" w:eastAsia="en-GB"/>
        </w:rPr>
        <w:fldChar w:fldCharType="end"/>
      </w:r>
      <w:r>
        <w:rPr>
          <w:rFonts w:cs="Arial"/>
          <w:lang w:val="es-ES" w:eastAsia="en-GB"/>
        </w:rPr>
        <w:t xml:space="preserve"> </w:t>
      </w:r>
    </w:p>
    <w:p>
      <w:pPr>
        <w:spacing w:after="0" w:line="240" w:lineRule="auto"/>
        <w:rPr>
          <w:rFonts w:cs="Arial"/>
          <w:lang w:val="es-ES" w:eastAsia="en-GB"/>
        </w:rPr>
      </w:pPr>
      <w:hyperlink r:id="rId16" w:history="1">
        <w:r>
          <w:rPr>
            <w:rStyle w:val="Hyperlink"/>
            <w:rFonts w:cs="Arial"/>
            <w:lang w:val="es-ES" w:eastAsia="en-GB"/>
          </w:rPr>
          <w:t>parkfield.co.uk</w:t>
        </w:r>
      </w:hyperlink>
      <w:r>
        <w:rPr>
          <w:rFonts w:cs="Arial"/>
          <w:lang w:val="es-ES" w:eastAsia="en-GB"/>
        </w:rPr>
        <w:t xml:space="preserve"> </w:t>
      </w:r>
    </w:p>
    <w:p>
      <w:pPr>
        <w:spacing w:after="0" w:line="240" w:lineRule="auto"/>
        <w:rPr>
          <w:rFonts w:cs="Arial"/>
          <w:lang w:val="es-ES" w:eastAsia="en-GB"/>
        </w:rPr>
      </w:pPr>
      <w:r>
        <w:rPr>
          <w:rFonts w:cs="Arial"/>
          <w:lang w:val="es-ES"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pPr>
        <w:spacing w:after="0" w:line="240" w:lineRule="auto"/>
        <w:rPr>
          <w:rFonts w:cs="Arial"/>
          <w:lang w:val="es-ES" w:eastAsia="en-GB"/>
        </w:rPr>
      </w:pPr>
    </w:p>
    <w:p>
      <w:pPr>
        <w:spacing w:after="0" w:line="240" w:lineRule="auto"/>
        <w:rPr>
          <w:rFonts w:cs="Arial"/>
          <w:lang w:val="en-US" w:eastAsia="en-GB"/>
        </w:rPr>
      </w:pPr>
      <w:r>
        <w:rPr>
          <w:rFonts w:cs="Arial"/>
          <w:lang w:val="en-US" w:eastAsia="en-GB"/>
        </w:rPr>
        <w:t>E2S Warning Signals</w:t>
      </w:r>
    </w:p>
    <w:p>
      <w:pPr>
        <w:spacing w:after="0" w:line="240" w:lineRule="auto"/>
        <w:rPr>
          <w:rFonts w:cs="Arial"/>
          <w:lang w:val="en-US" w:eastAsia="en-GB"/>
        </w:rPr>
      </w:pPr>
      <w:r>
        <w:rPr>
          <w:rFonts w:cs="Arial"/>
          <w:lang w:val="en-US" w:eastAsia="en-GB"/>
        </w:rPr>
        <w:t>Impress House</w:t>
      </w:r>
    </w:p>
    <w:p>
      <w:pPr>
        <w:spacing w:after="0" w:line="240" w:lineRule="auto"/>
        <w:rPr>
          <w:rFonts w:cs="Arial"/>
          <w:lang w:val="en-US" w:eastAsia="en-GB"/>
        </w:rPr>
      </w:pPr>
      <w:r>
        <w:rPr>
          <w:rFonts w:cs="Arial"/>
          <w:lang w:val="en-US" w:eastAsia="en-GB"/>
        </w:rPr>
        <w:t>Mansell Road</w:t>
      </w:r>
    </w:p>
    <w:p>
      <w:pPr>
        <w:spacing w:after="0" w:line="240" w:lineRule="auto"/>
        <w:rPr>
          <w:rFonts w:cs="Arial"/>
          <w:lang w:val="it-IT" w:eastAsia="en-GB"/>
        </w:rPr>
      </w:pPr>
      <w:r>
        <w:rPr>
          <w:rFonts w:cs="Arial"/>
          <w:lang w:val="it-IT" w:eastAsia="en-GB"/>
        </w:rPr>
        <w:t>Londres</w:t>
      </w:r>
    </w:p>
    <w:p>
      <w:pPr>
        <w:spacing w:after="0" w:line="240" w:lineRule="auto"/>
        <w:rPr>
          <w:rFonts w:cs="Arial"/>
          <w:lang w:val="it-IT" w:eastAsia="en-GB"/>
        </w:rPr>
      </w:pPr>
      <w:r>
        <w:rPr>
          <w:rFonts w:cs="Arial"/>
          <w:lang w:val="it-IT" w:eastAsia="en-GB"/>
        </w:rPr>
        <w:t>W3 7QH</w:t>
      </w:r>
    </w:p>
    <w:p>
      <w:pPr>
        <w:spacing w:after="0" w:line="240" w:lineRule="auto"/>
        <w:rPr>
          <w:rFonts w:cs="Arial"/>
          <w:lang w:val="it-IT" w:eastAsia="en-GB"/>
        </w:rPr>
      </w:pPr>
      <w:r>
        <w:rPr>
          <w:rFonts w:cs="Arial"/>
          <w:lang w:val="it-IT" w:eastAsia="en-GB"/>
        </w:rPr>
        <w:t>Gran Bretaña</w:t>
      </w:r>
    </w:p>
    <w:p>
      <w:pPr>
        <w:spacing w:after="0" w:line="240" w:lineRule="auto"/>
        <w:rPr>
          <w:rFonts w:cs="Arial"/>
          <w:lang w:val="it-IT" w:eastAsia="en-GB"/>
        </w:rPr>
      </w:pPr>
      <w:r>
        <w:rPr>
          <w:rFonts w:cs="Arial"/>
          <w:lang w:val="it-IT" w:eastAsia="en-GB"/>
        </w:rPr>
        <w:t>Tel: + 44 (0)20 8743 8880</w:t>
      </w:r>
    </w:p>
    <w:p>
      <w:pPr>
        <w:spacing w:after="0" w:line="240" w:lineRule="auto"/>
        <w:rPr>
          <w:rFonts w:cs="Arial"/>
          <w:lang w:val="it-IT" w:eastAsia="en-GB"/>
        </w:rPr>
      </w:pPr>
      <w:r>
        <w:rPr>
          <w:rFonts w:cs="Arial"/>
          <w:lang w:val="it-IT" w:eastAsia="en-GB"/>
        </w:rPr>
        <w:t>Fax: + 44 (0)20 8740 4200</w:t>
      </w:r>
    </w:p>
    <w:p>
      <w:pPr>
        <w:spacing w:after="0" w:line="240" w:lineRule="auto"/>
        <w:rPr>
          <w:rFonts w:cs="Arial"/>
          <w:lang w:val="it-IT" w:eastAsia="en-GB"/>
        </w:rPr>
      </w:pPr>
      <w:hyperlink r:id="rId17" w:history="1">
        <w:r>
          <w:rPr>
            <w:rStyle w:val="Hyperlink"/>
            <w:rFonts w:cs="Arial"/>
            <w:lang w:val="it-IT" w:eastAsia="en-GB"/>
          </w:rPr>
          <w:t>sales@e2s.com</w:t>
        </w:r>
      </w:hyperlink>
      <w:r>
        <w:rPr>
          <w:rFonts w:cs="Arial"/>
          <w:lang w:val="it-IT" w:eastAsia="en-GB"/>
        </w:rPr>
        <w:t xml:space="preserve"> </w:t>
      </w:r>
    </w:p>
    <w:p>
      <w:pPr>
        <w:tabs>
          <w:tab w:val="left" w:pos="851"/>
          <w:tab w:val="right" w:pos="9072"/>
        </w:tabs>
        <w:spacing w:after="0" w:line="240" w:lineRule="auto"/>
        <w:rPr>
          <w:lang w:val="it-IT"/>
        </w:rPr>
      </w:pPr>
      <w:hyperlink r:id="rId18" w:history="1">
        <w:r>
          <w:rPr>
            <w:rStyle w:val="Hyperlink"/>
            <w:rFonts w:cs="Arial"/>
            <w:lang w:val="it-IT" w:eastAsia="en-GB"/>
          </w:rPr>
          <w:t>e2s.com</w:t>
        </w:r>
      </w:hyperlink>
    </w:p>
    <w:p>
      <w:pPr>
        <w:spacing w:after="0" w:line="240" w:lineRule="auto"/>
        <w:rPr>
          <w:rFonts w:ascii="Calibri" w:eastAsia="Calibri" w:hAnsi="Calibri"/>
          <w:b/>
          <w:lang w:val="it-IT"/>
        </w:rPr>
      </w:pPr>
    </w:p>
    <w:p>
      <w:pPr>
        <w:tabs>
          <w:tab w:val="left" w:pos="851"/>
          <w:tab w:val="right" w:pos="9072"/>
        </w:tabs>
        <w:rPr>
          <w:lang w:val="it-IT"/>
        </w:rPr>
      </w:pPr>
    </w:p>
    <w:p>
      <w:pPr>
        <w:tabs>
          <w:tab w:val="left" w:pos="851"/>
          <w:tab w:val="right" w:pos="9072"/>
        </w:tabs>
        <w:rPr>
          <w:lang w:val="it-IT"/>
        </w:rPr>
      </w:pPr>
    </w:p>
    <w:p>
      <w:pPr>
        <w:widowControl w:val="0"/>
        <w:tabs>
          <w:tab w:val="left" w:pos="0"/>
          <w:tab w:val="left" w:pos="851"/>
          <w:tab w:val="right" w:pos="9064"/>
        </w:tabs>
        <w:spacing w:after="0" w:line="240" w:lineRule="auto"/>
        <w:rPr>
          <w:lang w:val="it-IT"/>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WPHyperlink">
    <w:name w:val="WP_Hyperlink"/>
    <w:basedOn w:val="DefaultParagraphFont"/>
    <w:qFormat/>
    <w:rPr>
      <w:color w:val="0000FF"/>
      <w:u w:val="single"/>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2s.com/products/hazardous-area/type/manual-alarm-call-points" TargetMode="External"/><Relationship Id="rId13" Type="http://schemas.openxmlformats.org/officeDocument/2006/relationships/hyperlink" Target="https://www.e2s.com/products/fire-and-industrial/type/manual-alarm-call-points" TargetMode="External"/><Relationship Id="rId18"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parkfield.co.uk/e2s/"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mailto:sales@e2s.com" TargetMode="External"/><Relationship Id="rId2" Type="http://schemas.openxmlformats.org/officeDocument/2006/relationships/styles" Target="style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arkfield.co.uk/e2s/mcp-updates-es.docx" TargetMode="External"/><Relationship Id="rId11" Type="http://schemas.openxmlformats.org/officeDocument/2006/relationships/hyperlink" Target="https://www.e2s.com/products/hazardous-area-signalling/family/rn030" TargetMode="External"/><Relationship Id="rId5" Type="http://schemas.openxmlformats.org/officeDocument/2006/relationships/hyperlink" Target="https://www.parkfield.co.uk/e2s/mcp-updates-print.jpg" TargetMode="External"/><Relationship Id="rId15" Type="http://schemas.openxmlformats.org/officeDocument/2006/relationships/hyperlink" Target="https://www.e2s.com/products/fire-and-industrial/type/manual-alarm-call-points" TargetMode="External"/><Relationship Id="rId10" Type="http://schemas.openxmlformats.org/officeDocument/2006/relationships/hyperlink" Target="https://www.e2s.com/products/hazardous-area-signalling/family/rn0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2s.com/products/hazardous-area-signalling/family/rn020" TargetMode="External"/><Relationship Id="rId14" Type="http://schemas.openxmlformats.org/officeDocument/2006/relationships/hyperlink" Target="https://www.e2s.com/products/fire-and-industrial/type/manual-alarm-call-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2BFC-EE7D-4CBB-B122-1AB19646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2020-10-22T14:09:00Z</dcterms:created>
  <dcterms:modified xsi:type="dcterms:W3CDTF">2020-10-22T14:09:00Z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