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ascii="MingLiU" w:eastAsiaTheme="minorEastAsia" w:hAnsi="MingLiU" w:cs="宋体"/>
          <w:b/>
          <w:bCs/>
          <w:color w:val="C00000"/>
          <w:sz w:val="48"/>
          <w:szCs w:val="48"/>
        </w:rPr>
      </w:pPr>
      <w:r>
        <w:rPr>
          <w:rFonts w:ascii="MingLiU" w:eastAsiaTheme="minorEastAsia" w:hAnsi="MingLiU" w:cs="宋体"/>
          <w:b/>
          <w:bCs/>
          <w:color w:val="C00000"/>
          <w:sz w:val="50"/>
          <w:szCs w:val="50"/>
        </w:rPr>
        <w:t>新闻资料</w:t>
      </w:r>
      <w:r>
        <w:rPr>
          <w:rFonts w:ascii="MingLiU" w:eastAsiaTheme="minorEastAsia" w:hAnsi="MingLiU" w:cs="宋体"/>
          <w:b/>
          <w:bCs/>
          <w:color w:val="C00000"/>
          <w:sz w:val="48"/>
          <w:szCs w:val="48"/>
        </w:rPr>
        <w:t xml:space="preserve"> </w:t>
      </w:r>
      <w:r>
        <w:rPr>
          <w:rFonts w:ascii="MingLiU" w:eastAsiaTheme="minorEastAsia" w:hAnsi="MingLiU" w:cs="宋体"/>
          <w:b/>
          <w:bCs/>
          <w:color w:val="C00000"/>
          <w:sz w:val="48"/>
          <w:szCs w:val="48"/>
        </w:rPr>
        <w:tab/>
      </w:r>
    </w:p>
    <w:p>
      <w:pPr>
        <w:spacing w:after="0" w:line="240" w:lineRule="auto"/>
        <w:rPr>
          <w:rFonts w:eastAsiaTheme="minorEastAsia"/>
          <w:b/>
          <w:szCs w:val="24"/>
        </w:rPr>
      </w:pPr>
      <w:r>
        <w:rPr>
          <w:rFonts w:eastAsiaTheme="minorEastAsia" w:hint="eastAsia"/>
          <w:b/>
          <w:szCs w:val="24"/>
        </w:rPr>
        <w:t>发布于</w:t>
      </w:r>
      <w:r>
        <w:rPr>
          <w:rFonts w:eastAsiaTheme="minorEastAsia" w:hint="eastAsia"/>
          <w:b/>
          <w:szCs w:val="24"/>
        </w:rPr>
        <w:t xml:space="preserve"> </w:t>
      </w:r>
      <w:r>
        <w:rPr>
          <w:rFonts w:eastAsiaTheme="minorEastAsia" w:hint="eastAsia"/>
          <w:b/>
          <w:szCs w:val="24"/>
        </w:rPr>
        <w:t>2023</w:t>
      </w:r>
      <w:r>
        <w:rPr>
          <w:rFonts w:eastAsiaTheme="minorEastAsia" w:hint="eastAsia"/>
          <w:b/>
          <w:szCs w:val="24"/>
        </w:rPr>
        <w:t>年</w:t>
      </w:r>
      <w:r>
        <w:rPr>
          <w:rFonts w:eastAsiaTheme="minorEastAsia" w:hint="eastAsia"/>
          <w:b/>
          <w:szCs w:val="24"/>
        </w:rPr>
        <w:t>1</w:t>
      </w:r>
      <w:r>
        <w:rPr>
          <w:rFonts w:eastAsiaTheme="minorEastAsia" w:hint="eastAsia"/>
          <w:b/>
          <w:szCs w:val="24"/>
        </w:rPr>
        <w:t>月</w:t>
      </w:r>
      <w:r>
        <w:rPr>
          <w:rFonts w:eastAsiaTheme="minorEastAsia" w:hint="eastAsia"/>
          <w:b/>
          <w:szCs w:val="24"/>
        </w:rPr>
        <w:t>11</w:t>
      </w:r>
      <w:r>
        <w:rPr>
          <w:rFonts w:eastAsiaTheme="minorEastAsia" w:hint="eastAsia"/>
          <w:b/>
          <w:szCs w:val="24"/>
        </w:rPr>
        <w:t>日</w:t>
      </w:r>
    </w:p>
    <w:p>
      <w:pPr>
        <w:spacing w:after="0" w:line="240" w:lineRule="auto"/>
        <w:rPr>
          <w:rFonts w:ascii="MingLiU" w:eastAsiaTheme="minorEastAsia" w:hAnsi="MingLiU" w:cs="宋体"/>
          <w:bCs/>
        </w:rPr>
      </w:pPr>
    </w:p>
    <w:p>
      <w:pPr>
        <w:spacing w:after="0" w:line="240" w:lineRule="auto"/>
        <w:rPr>
          <w:rFonts w:eastAsiaTheme="minorEastAsia"/>
        </w:rPr>
      </w:pPr>
      <w:r>
        <w:rPr>
          <w:rFonts w:ascii="MingLiU" w:eastAsiaTheme="minorEastAsia" w:hAnsi="MingLiU" w:cs="宋体"/>
          <w:bCs/>
        </w:rPr>
        <w:t>要下载</w:t>
      </w:r>
      <w:r>
        <w:rPr>
          <w:rFonts w:ascii="MingLiU" w:eastAsiaTheme="minorEastAsia" w:hAnsi="MingLiU" w:cs="宋体"/>
          <w:bCs/>
        </w:rPr>
        <w:t xml:space="preserve"> </w:t>
      </w:r>
      <w:r>
        <w:rPr>
          <w:rFonts w:asciiTheme="minorHAnsi" w:eastAsiaTheme="minorEastAsia" w:hAnsiTheme="minorHAnsi" w:cstheme="minorHAnsi"/>
          <w:bCs/>
        </w:rPr>
        <w:t>300dpi</w:t>
      </w:r>
      <w:r>
        <w:rPr>
          <w:rFonts w:ascii="MingLiU" w:eastAsiaTheme="minorEastAsia" w:hAnsi="MingLiU" w:cs="宋体"/>
          <w:bCs/>
        </w:rPr>
        <w:t xml:space="preserve"> </w:t>
      </w:r>
      <w:r>
        <w:rPr>
          <w:rFonts w:ascii="MingLiU" w:eastAsiaTheme="minorEastAsia" w:hAnsi="MingLiU" w:cs="宋体"/>
          <w:bCs/>
        </w:rPr>
        <w:t>打印质量图片，请访问</w:t>
      </w:r>
      <w:r>
        <w:rPr>
          <w:rFonts w:ascii="MingLiU" w:eastAsiaTheme="minorEastAsia" w:hAnsi="MingLiU" w:cs="宋体"/>
          <w:bCs/>
        </w:rPr>
        <w:t xml:space="preserve"> </w:t>
      </w:r>
      <w:hyperlink r:id="rId6" w:history="1">
        <w:r>
          <w:rPr>
            <w:rStyle w:val="Hyperlink"/>
            <w:rFonts w:asciiTheme="minorHAnsi" w:eastAsiaTheme="minorEastAsia" w:hAnsiTheme="minorHAnsi" w:cstheme="minorHAnsi"/>
            <w:bCs/>
          </w:rPr>
          <w:t>parkfield.co.uk/e2s/next-generation-sil2-print.jpg</w:t>
        </w:r>
      </w:hyperlink>
    </w:p>
    <w:p>
      <w:pPr>
        <w:spacing w:after="0" w:line="240" w:lineRule="auto"/>
        <w:rPr>
          <w:rFonts w:ascii="MingLiU" w:eastAsiaTheme="minorEastAsia" w:hAnsi="MingLiU" w:cs="宋体"/>
          <w:bCs/>
        </w:rPr>
      </w:pPr>
    </w:p>
    <w:p>
      <w:pPr>
        <w:spacing w:after="0" w:line="240" w:lineRule="auto"/>
        <w:rPr>
          <w:rFonts w:eastAsiaTheme="minorEastAsia"/>
        </w:rPr>
      </w:pPr>
      <w:r>
        <w:rPr>
          <w:rFonts w:ascii="MingLiU" w:eastAsiaTheme="minorEastAsia" w:hAnsi="MingLiU" w:cs="宋体"/>
          <w:bCs/>
        </w:rPr>
        <w:t>要下载</w:t>
      </w:r>
      <w:r>
        <w:rPr>
          <w:rFonts w:ascii="MingLiU" w:eastAsiaTheme="minorEastAsia" w:hAnsi="MingLiU" w:cs="宋体"/>
          <w:bCs/>
        </w:rPr>
        <w:t xml:space="preserve"> </w:t>
      </w:r>
      <w:r>
        <w:rPr>
          <w:rFonts w:asciiTheme="minorHAnsi" w:eastAsiaTheme="minorEastAsia" w:hAnsiTheme="minorHAnsi" w:cstheme="minorHAnsi"/>
          <w:bCs/>
        </w:rPr>
        <w:t>Word</w:t>
      </w:r>
      <w:r>
        <w:rPr>
          <w:rFonts w:ascii="MingLiU" w:eastAsiaTheme="minorEastAsia" w:hAnsi="MingLiU" w:cs="宋体"/>
          <w:bCs/>
        </w:rPr>
        <w:t xml:space="preserve"> </w:t>
      </w:r>
      <w:r>
        <w:rPr>
          <w:rFonts w:ascii="MingLiU" w:eastAsiaTheme="minorEastAsia" w:hAnsi="MingLiU" w:cs="宋体"/>
          <w:bCs/>
        </w:rPr>
        <w:t>格式文章，请访问</w:t>
      </w:r>
      <w:r>
        <w:rPr>
          <w:rFonts w:ascii="MingLiU" w:eastAsiaTheme="minorEastAsia" w:hAnsi="MingLiU" w:cs="宋体"/>
          <w:bCs/>
        </w:rPr>
        <w:t xml:space="preserve"> </w:t>
      </w:r>
      <w:hyperlink r:id="rId7" w:history="1">
        <w:r>
          <w:rPr>
            <w:rStyle w:val="Hyperlink"/>
            <w:rFonts w:asciiTheme="minorHAnsi" w:eastAsiaTheme="minorEastAsia" w:hAnsiTheme="minorHAnsi" w:cstheme="minorHAnsi"/>
            <w:bCs/>
          </w:rPr>
          <w:t>parkfield.co.uk/e2s/next-generation-sil2-cn.docx</w:t>
        </w:r>
      </w:hyperlink>
    </w:p>
    <w:p>
      <w:pPr>
        <w:spacing w:after="0" w:line="240" w:lineRule="auto"/>
        <w:rPr>
          <w:rFonts w:ascii="MingLiU" w:eastAsiaTheme="minorEastAsia" w:hAnsi="MingLiU" w:cs="宋体"/>
          <w:bCs/>
        </w:rPr>
      </w:pPr>
    </w:p>
    <w:p>
      <w:pPr>
        <w:spacing w:after="0" w:line="240" w:lineRule="auto"/>
        <w:rPr>
          <w:rFonts w:ascii="MingLiU" w:eastAsiaTheme="minorEastAsia" w:hAnsi="MingLiU"/>
          <w:lang w:val="pt-BR"/>
        </w:rPr>
      </w:pPr>
      <w:r>
        <w:rPr>
          <w:rFonts w:ascii="MingLiU" w:eastAsiaTheme="minorEastAsia" w:hAnsi="MingLiU" w:cs="宋体"/>
          <w:bCs/>
        </w:rPr>
        <w:t>要查看全部</w:t>
      </w:r>
      <w:r>
        <w:rPr>
          <w:rFonts w:ascii="MingLiU" w:eastAsiaTheme="minorEastAsia" w:hAnsi="MingLiU" w:cs="宋体"/>
          <w:bCs/>
          <w:lang w:val="pt-BR"/>
        </w:rPr>
        <w:t xml:space="preserve"> </w:t>
      </w:r>
      <w:r>
        <w:rPr>
          <w:rFonts w:asciiTheme="minorHAnsi" w:eastAsiaTheme="minorEastAsia" w:hAnsiTheme="minorHAnsi" w:cstheme="minorHAnsi"/>
          <w:bCs/>
          <w:lang w:val="pt-BR"/>
        </w:rPr>
        <w:t>E2S</w:t>
      </w:r>
      <w:r>
        <w:rPr>
          <w:rFonts w:ascii="MingLiU" w:eastAsiaTheme="minorEastAsia" w:hAnsi="MingLiU" w:cs="宋体"/>
          <w:bCs/>
          <w:lang w:val="pt-BR"/>
        </w:rPr>
        <w:t xml:space="preserve"> </w:t>
      </w:r>
      <w:r>
        <w:rPr>
          <w:rFonts w:ascii="MingLiU" w:eastAsiaTheme="minorEastAsia" w:hAnsi="MingLiU" w:cs="宋体"/>
          <w:bCs/>
        </w:rPr>
        <w:t>新闻资料</w:t>
      </w:r>
      <w:r>
        <w:rPr>
          <w:rFonts w:ascii="MingLiU" w:eastAsiaTheme="minorEastAsia" w:hAnsi="MingLiU" w:cs="宋体"/>
          <w:bCs/>
          <w:lang w:val="pt-BR"/>
        </w:rPr>
        <w:t>，</w:t>
      </w:r>
      <w:r>
        <w:rPr>
          <w:rFonts w:ascii="MingLiU" w:eastAsiaTheme="minorEastAsia" w:hAnsi="MingLiU" w:cs="宋体"/>
          <w:bCs/>
        </w:rPr>
        <w:t>请访问</w:t>
      </w:r>
      <w:r>
        <w:rPr>
          <w:rFonts w:ascii="MingLiU" w:eastAsiaTheme="minorEastAsia" w:hAnsi="MingLiU" w:cs="宋体"/>
          <w:bCs/>
          <w:lang w:val="pt-BR"/>
        </w:rPr>
        <w:t xml:space="preserve"> </w:t>
      </w:r>
      <w:hyperlink r:id="rId8" w:history="1">
        <w:r>
          <w:rPr>
            <w:rStyle w:val="Hyperlink"/>
            <w:rFonts w:asciiTheme="minorHAnsi" w:eastAsiaTheme="minorEastAsia" w:hAnsiTheme="minorHAnsi" w:cstheme="minorHAnsi"/>
            <w:bCs/>
            <w:lang w:val="pt-BR"/>
          </w:rPr>
          <w:t>parkfield.co.uk/e2s</w:t>
        </w:r>
      </w:hyperlink>
      <w:r>
        <w:rPr>
          <w:rFonts w:asciiTheme="minorHAnsi" w:eastAsiaTheme="minorEastAsia" w:hAnsiTheme="minorHAnsi" w:cstheme="minorHAnsi"/>
        </w:rPr>
        <w:br/>
      </w:r>
    </w:p>
    <w:p>
      <w:pPr>
        <w:tabs>
          <w:tab w:val="left" w:pos="851"/>
          <w:tab w:val="right" w:pos="9072"/>
        </w:tabs>
        <w:spacing w:after="0" w:line="240" w:lineRule="auto"/>
      </w:pPr>
      <w:r>
        <w:rPr>
          <w:rFonts w:hint="eastAsia"/>
          <w:b/>
          <w:bCs/>
        </w:rPr>
        <w:t>下一代</w:t>
      </w:r>
      <w:r>
        <w:rPr>
          <w:rFonts w:hint="eastAsia"/>
          <w:b/>
          <w:bCs/>
        </w:rPr>
        <w:t xml:space="preserve"> SIL </w:t>
      </w:r>
      <w:r>
        <w:rPr>
          <w:rFonts w:hint="eastAsia"/>
          <w:b/>
          <w:bCs/>
        </w:rPr>
        <w:t>级报警信号</w:t>
      </w:r>
      <w:r>
        <w:rPr>
          <w:rFonts w:hint="eastAsia"/>
        </w:rPr>
        <w:cr/>
      </w:r>
      <w:r>
        <w:rPr>
          <w:rFonts w:hint="eastAsia"/>
        </w:rPr>
        <w:br/>
      </w:r>
      <w:r>
        <w:rPr>
          <w:rFonts w:hint="eastAsia"/>
        </w:rPr>
        <w:t>作为为工业、海洋和危险地区提供生命安全警报信号装置的世界领先独立制造商，</w:t>
      </w:r>
      <w:r>
        <w:rPr>
          <w:rFonts w:hint="eastAsia"/>
        </w:rPr>
        <w:t xml:space="preserve">E2S Warning Signals </w:t>
      </w:r>
      <w:r>
        <w:rPr>
          <w:rFonts w:hint="eastAsia"/>
        </w:rPr>
        <w:t>十分高兴地推出全新一代符合</w:t>
      </w:r>
      <w:r>
        <w:rPr>
          <w:rFonts w:hint="eastAsia"/>
        </w:rPr>
        <w:t xml:space="preserve"> SIL1 </w:t>
      </w:r>
      <w:r>
        <w:rPr>
          <w:rFonts w:hint="eastAsia"/>
        </w:rPr>
        <w:t>和</w:t>
      </w:r>
      <w:r>
        <w:rPr>
          <w:rFonts w:hint="eastAsia"/>
        </w:rPr>
        <w:t xml:space="preserve"> SIL2 </w:t>
      </w:r>
      <w:r>
        <w:rPr>
          <w:rFonts w:hint="eastAsia"/>
        </w:rPr>
        <w:t>标准的报警设备。</w:t>
      </w:r>
    </w:p>
    <w:p>
      <w:pPr>
        <w:tabs>
          <w:tab w:val="left" w:pos="851"/>
          <w:tab w:val="right" w:pos="9072"/>
        </w:tabs>
        <w:spacing w:after="0" w:line="240" w:lineRule="auto"/>
      </w:pPr>
    </w:p>
    <w:p>
      <w:pPr>
        <w:tabs>
          <w:tab w:val="left" w:pos="851"/>
          <w:tab w:val="right" w:pos="9072"/>
        </w:tabs>
        <w:spacing w:after="0" w:line="240" w:lineRule="auto"/>
      </w:pPr>
      <w:hyperlink r:id="rId9" w:history="1">
        <w:r>
          <w:rPr>
            <w:rStyle w:val="Hyperlink"/>
            <w:rFonts w:hint="eastAsia"/>
          </w:rPr>
          <w:t>D1x</w:t>
        </w:r>
      </w:hyperlink>
      <w:r>
        <w:rPr>
          <w:rFonts w:hint="eastAsia"/>
        </w:rPr>
        <w:t>、</w:t>
      </w:r>
      <w:hyperlink r:id="rId10" w:history="1">
        <w:r>
          <w:rPr>
            <w:rStyle w:val="Hyperlink"/>
            <w:rFonts w:hint="eastAsia"/>
          </w:rPr>
          <w:t>GNEx</w:t>
        </w:r>
      </w:hyperlink>
      <w:r>
        <w:rPr>
          <w:rFonts w:hint="eastAsia"/>
        </w:rPr>
        <w:t>、</w:t>
      </w:r>
      <w:hyperlink r:id="rId11" w:history="1">
        <w:r>
          <w:rPr>
            <w:rStyle w:val="Hyperlink"/>
            <w:rFonts w:hint="eastAsia"/>
          </w:rPr>
          <w:t>STEx</w:t>
        </w:r>
      </w:hyperlink>
      <w:r>
        <w:rPr>
          <w:rFonts w:hint="eastAsia"/>
        </w:rPr>
        <w:t>、</w:t>
      </w:r>
      <w:hyperlink r:id="rId12" w:history="1">
        <w:r>
          <w:rPr>
            <w:rStyle w:val="Hyperlink"/>
            <w:rFonts w:hint="eastAsia"/>
          </w:rPr>
          <w:t>AlertAlarm</w:t>
        </w:r>
      </w:hyperlink>
      <w:r>
        <w:rPr>
          <w:rFonts w:hint="eastAsia"/>
        </w:rPr>
        <w:t>和</w:t>
      </w:r>
      <w:hyperlink r:id="rId13" w:history="1">
        <w:r>
          <w:rPr>
            <w:rStyle w:val="Hyperlink"/>
            <w:rFonts w:hint="eastAsia"/>
          </w:rPr>
          <w:t>AlertAlight</w:t>
        </w:r>
      </w:hyperlink>
      <w:r>
        <w:rPr>
          <w:rFonts w:hint="eastAsia"/>
        </w:rPr>
        <w:t xml:space="preserve"> </w:t>
      </w:r>
      <w:r>
        <w:rPr>
          <w:rFonts w:hint="eastAsia"/>
        </w:rPr>
        <w:t>系列报警喇叭发声器，</w:t>
      </w:r>
      <w:r>
        <w:rPr>
          <w:rFonts w:hint="eastAsia"/>
        </w:rPr>
        <w:t xml:space="preserve">LED </w:t>
      </w:r>
      <w:r>
        <w:rPr>
          <w:rFonts w:hint="eastAsia"/>
        </w:rPr>
        <w:t>和氙气频闪灯信标，以及带有信标的组合发声器，现在已符合</w:t>
      </w:r>
      <w:r>
        <w:rPr>
          <w:rFonts w:hint="eastAsia"/>
        </w:rPr>
        <w:t xml:space="preserve"> SIL1 </w:t>
      </w:r>
      <w:r>
        <w:rPr>
          <w:rFonts w:hint="eastAsia"/>
        </w:rPr>
        <w:t>和</w:t>
      </w:r>
      <w:r>
        <w:rPr>
          <w:rFonts w:hint="eastAsia"/>
        </w:rPr>
        <w:t xml:space="preserve"> SIL2 </w:t>
      </w:r>
      <w:r>
        <w:rPr>
          <w:rFonts w:hint="eastAsia"/>
        </w:rPr>
        <w:t>标准。这个受全球认可的信号产品系列在危险区域和安全区域应用中提供值得信赖的报警通知。</w:t>
      </w:r>
    </w:p>
    <w:p>
      <w:pPr>
        <w:tabs>
          <w:tab w:val="left" w:pos="851"/>
          <w:tab w:val="right" w:pos="9072"/>
        </w:tabs>
        <w:spacing w:after="0" w:line="240" w:lineRule="auto"/>
      </w:pPr>
    </w:p>
    <w:p>
      <w:pPr>
        <w:tabs>
          <w:tab w:val="left" w:pos="851"/>
          <w:tab w:val="right" w:pos="9072"/>
        </w:tabs>
        <w:spacing w:after="0" w:line="240" w:lineRule="auto"/>
      </w:pPr>
      <w:r>
        <w:rPr>
          <w:rFonts w:hint="eastAsia"/>
        </w:rPr>
        <w:t>第三方</w:t>
      </w:r>
      <w:r>
        <w:rPr>
          <w:rFonts w:hint="eastAsia"/>
        </w:rPr>
        <w:t xml:space="preserve"> PFD </w:t>
      </w:r>
      <w:r>
        <w:rPr>
          <w:rFonts w:hint="eastAsia"/>
        </w:rPr>
        <w:t>专家广泛分析了这些产品的可靠性数据，一致确认其符合</w:t>
      </w:r>
      <w:r>
        <w:rPr>
          <w:rFonts w:hint="eastAsia"/>
        </w:rPr>
        <w:t xml:space="preserve"> SIL1 </w:t>
      </w:r>
      <w:r>
        <w:rPr>
          <w:rFonts w:hint="eastAsia"/>
        </w:rPr>
        <w:t>和</w:t>
      </w:r>
      <w:r>
        <w:rPr>
          <w:rFonts w:hint="eastAsia"/>
        </w:rPr>
        <w:t xml:space="preserve"> SIL2 </w:t>
      </w:r>
      <w:r>
        <w:rPr>
          <w:rFonts w:hint="eastAsia"/>
        </w:rPr>
        <w:t>标准。依据</w:t>
      </w:r>
      <w:r>
        <w:rPr>
          <w:rFonts w:hint="eastAsia"/>
        </w:rPr>
        <w:t xml:space="preserve"> IEC 61508 (2010) </w:t>
      </w:r>
      <w:r>
        <w:rPr>
          <w:rFonts w:hint="eastAsia"/>
        </w:rPr>
        <w:t>随机硬件故障和系统故障——路径</w:t>
      </w:r>
      <w:r>
        <w:rPr>
          <w:rFonts w:hint="eastAsia"/>
        </w:rPr>
        <w:t xml:space="preserve"> 2H </w:t>
      </w:r>
      <w:r>
        <w:rPr>
          <w:rFonts w:hint="eastAsia"/>
        </w:rPr>
        <w:t>对产品进行评估。由于在</w:t>
      </w:r>
      <w:r>
        <w:rPr>
          <w:rFonts w:hint="eastAsia"/>
        </w:rPr>
        <w:t xml:space="preserve"> 1oo1 </w:t>
      </w:r>
      <w:r>
        <w:rPr>
          <w:rFonts w:hint="eastAsia"/>
        </w:rPr>
        <w:t>架构中已实现符合性，因此不需要重复或冗余设备。</w:t>
      </w:r>
      <w:r>
        <w:rPr>
          <w:rFonts w:hint="eastAsia"/>
        </w:rPr>
        <w:t xml:space="preserve"> </w:t>
      </w:r>
    </w:p>
    <w:p>
      <w:pPr>
        <w:tabs>
          <w:tab w:val="left" w:pos="851"/>
          <w:tab w:val="right" w:pos="9072"/>
        </w:tabs>
        <w:spacing w:after="0" w:line="240" w:lineRule="auto"/>
      </w:pPr>
    </w:p>
    <w:p>
      <w:pPr>
        <w:tabs>
          <w:tab w:val="left" w:pos="851"/>
          <w:tab w:val="right" w:pos="9072"/>
        </w:tabs>
        <w:spacing w:after="0" w:line="240" w:lineRule="auto"/>
      </w:pPr>
      <w:r>
        <w:rPr>
          <w:rFonts w:hint="eastAsia"/>
        </w:rPr>
        <w:t>除了符合上述</w:t>
      </w:r>
      <w:r>
        <w:rPr>
          <w:rFonts w:hint="eastAsia"/>
        </w:rPr>
        <w:t xml:space="preserve"> SIL1 </w:t>
      </w:r>
      <w:r>
        <w:rPr>
          <w:rFonts w:hint="eastAsia"/>
        </w:rPr>
        <w:t>和</w:t>
      </w:r>
      <w:r>
        <w:rPr>
          <w:rFonts w:hint="eastAsia"/>
        </w:rPr>
        <w:t xml:space="preserve"> SIL2 </w:t>
      </w:r>
      <w:r>
        <w:rPr>
          <w:rFonts w:hint="eastAsia"/>
        </w:rPr>
        <w:t>标准外，独特的</w:t>
      </w:r>
      <w:r>
        <w:rPr>
          <w:rFonts w:hint="eastAsia"/>
        </w:rPr>
        <w:t xml:space="preserve"> E2S SIL2 </w:t>
      </w:r>
      <w:r>
        <w:rPr>
          <w:rFonts w:hint="eastAsia"/>
        </w:rPr>
        <w:t>诊断模块还可以根据要求设定具体功能。对于需要通过</w:t>
      </w:r>
      <w:r>
        <w:rPr>
          <w:rFonts w:hint="eastAsia"/>
        </w:rPr>
        <w:t xml:space="preserve"> 1oo1 </w:t>
      </w:r>
      <w:r>
        <w:rPr>
          <w:rFonts w:hint="eastAsia"/>
        </w:rPr>
        <w:t>构型中的路径</w:t>
      </w:r>
      <w:r>
        <w:rPr>
          <w:rFonts w:hint="eastAsia"/>
        </w:rPr>
        <w:t xml:space="preserve"> 1H </w:t>
      </w:r>
      <w:r>
        <w:rPr>
          <w:rFonts w:hint="eastAsia"/>
        </w:rPr>
        <w:t>具备主动诊断和</w:t>
      </w:r>
      <w:r>
        <w:rPr>
          <w:rFonts w:hint="eastAsia"/>
        </w:rPr>
        <w:t xml:space="preserve"> SIL2 </w:t>
      </w:r>
      <w:r>
        <w:rPr>
          <w:rFonts w:hint="eastAsia"/>
        </w:rPr>
        <w:t>符合性报警信号的安全系统，该诊断模块可以提供行业领先的解决方案。该模块出厂集成信号电子器件，可实现由诊断电路评估发声器或信标的声音或视觉输出。任何检测到的电源故障或启动失败事件都会通过诊断继电器输出向控制系统报告。</w:t>
      </w:r>
      <w:r>
        <w:rPr>
          <w:rFonts w:hint="eastAsia"/>
        </w:rPr>
        <w:t>D1x</w:t>
      </w:r>
      <w:r>
        <w:rPr>
          <w:rFonts w:hint="eastAsia"/>
        </w:rPr>
        <w:t>、</w:t>
      </w:r>
      <w:r>
        <w:rPr>
          <w:rFonts w:hint="eastAsia"/>
        </w:rPr>
        <w:t>BEx</w:t>
      </w:r>
      <w:r>
        <w:rPr>
          <w:rFonts w:hint="eastAsia"/>
        </w:rPr>
        <w:t>、</w:t>
      </w:r>
      <w:r>
        <w:rPr>
          <w:rFonts w:hint="eastAsia"/>
        </w:rPr>
        <w:t xml:space="preserve">GNEx </w:t>
      </w:r>
      <w:r>
        <w:rPr>
          <w:rFonts w:hint="eastAsia"/>
        </w:rPr>
        <w:t>和</w:t>
      </w:r>
      <w:r>
        <w:rPr>
          <w:rFonts w:hint="eastAsia"/>
        </w:rPr>
        <w:t xml:space="preserve"> STEx </w:t>
      </w:r>
      <w:r>
        <w:rPr>
          <w:rFonts w:hint="eastAsia"/>
        </w:rPr>
        <w:t>系列防爆声光信号产品采用船级铝制材料、</w:t>
      </w:r>
      <w:r>
        <w:rPr>
          <w:rFonts w:hint="eastAsia"/>
        </w:rPr>
        <w:t xml:space="preserve">GRP </w:t>
      </w:r>
      <w:r>
        <w:rPr>
          <w:rFonts w:hint="eastAsia"/>
        </w:rPr>
        <w:t>或不锈钢外壳，可提供配备</w:t>
      </w:r>
      <w:r>
        <w:rPr>
          <w:rFonts w:hint="eastAsia"/>
        </w:rPr>
        <w:t xml:space="preserve"> SIL2 </w:t>
      </w:r>
      <w:r>
        <w:rPr>
          <w:rFonts w:hint="eastAsia"/>
        </w:rPr>
        <w:t>诊断模块的产品版本。</w:t>
      </w:r>
    </w:p>
    <w:p>
      <w:pPr>
        <w:tabs>
          <w:tab w:val="left" w:pos="851"/>
          <w:tab w:val="right" w:pos="9072"/>
        </w:tabs>
        <w:spacing w:after="0" w:line="240" w:lineRule="auto"/>
      </w:pPr>
    </w:p>
    <w:p>
      <w:pPr>
        <w:tabs>
          <w:tab w:val="left" w:pos="851"/>
          <w:tab w:val="right" w:pos="9072"/>
        </w:tabs>
        <w:spacing w:after="0" w:line="240" w:lineRule="auto"/>
      </w:pPr>
      <w:r>
        <w:rPr>
          <w:rFonts w:hint="eastAsia"/>
        </w:rPr>
        <w:t>在安全系统应用领域，</w:t>
      </w:r>
      <w:r>
        <w:rPr>
          <w:rFonts w:hint="eastAsia"/>
        </w:rPr>
        <w:t xml:space="preserve">E2S </w:t>
      </w:r>
      <w:r>
        <w:rPr>
          <w:rFonts w:hint="eastAsia"/>
        </w:rPr>
        <w:t>的破碎玻璃手动呼叫点和报警按钮产品带有工具复位、瞬时和双重动作，同时也符合</w:t>
      </w:r>
      <w:r>
        <w:rPr>
          <w:rFonts w:hint="eastAsia"/>
        </w:rPr>
        <w:t xml:space="preserve"> SIL1 </w:t>
      </w:r>
      <w:r>
        <w:rPr>
          <w:rFonts w:hint="eastAsia"/>
        </w:rPr>
        <w:t>和</w:t>
      </w:r>
      <w:r>
        <w:rPr>
          <w:rFonts w:hint="eastAsia"/>
        </w:rPr>
        <w:t xml:space="preserve"> SIL2 </w:t>
      </w:r>
      <w:r>
        <w:rPr>
          <w:rFonts w:hint="eastAsia"/>
        </w:rPr>
        <w:t>标准。</w:t>
      </w:r>
    </w:p>
    <w:p>
      <w:pPr>
        <w:spacing w:after="0" w:line="240" w:lineRule="auto"/>
        <w:rPr>
          <w:rFonts w:eastAsiaTheme="minorEastAsia"/>
        </w:rPr>
      </w:pPr>
    </w:p>
    <w:p>
      <w:pPr>
        <w:spacing w:after="0" w:line="240" w:lineRule="auto"/>
        <w:rPr>
          <w:b/>
          <w:szCs w:val="24"/>
          <w:lang w:val="zh-CN"/>
        </w:rPr>
      </w:pPr>
      <w:r>
        <w:rPr>
          <w:b/>
          <w:szCs w:val="24"/>
          <w:lang w:val="zh-CN"/>
        </w:rPr>
        <w:br w:type="page"/>
      </w:r>
    </w:p>
    <w:p>
      <w:pPr>
        <w:spacing w:line="260" w:lineRule="auto"/>
        <w:rPr>
          <w:b/>
          <w:szCs w:val="24"/>
        </w:rPr>
      </w:pPr>
      <w:r>
        <w:rPr>
          <w:rFonts w:hint="eastAsia"/>
          <w:b/>
          <w:szCs w:val="24"/>
          <w:lang w:val="zh-CN"/>
        </w:rPr>
        <w:lastRenderedPageBreak/>
        <w:t>编者按</w:t>
      </w:r>
    </w:p>
    <w:p>
      <w:pPr>
        <w:spacing w:line="260" w:lineRule="auto"/>
        <w:rPr>
          <w:szCs w:val="24"/>
        </w:rPr>
      </w:pPr>
      <w:r>
        <w:rPr>
          <w:rFonts w:hint="eastAsia"/>
          <w:szCs w:val="24"/>
          <w:lang w:val="zh-CN"/>
        </w:rPr>
        <w:t>所有后续问询</w:t>
      </w:r>
      <w:r>
        <w:rPr>
          <w:rFonts w:hint="eastAsia"/>
          <w:szCs w:val="24"/>
        </w:rPr>
        <w:t>，</w:t>
      </w:r>
      <w:r>
        <w:rPr>
          <w:rFonts w:hint="eastAsia"/>
          <w:szCs w:val="24"/>
          <w:lang w:val="zh-CN"/>
        </w:rPr>
        <w:t>请联系以下人员</w:t>
      </w:r>
      <w:r>
        <w:rPr>
          <w:rFonts w:hint="eastAsia"/>
          <w:szCs w:val="24"/>
        </w:rPr>
        <w:t>：</w:t>
      </w:r>
      <w:r>
        <w:rPr>
          <w:szCs w:val="24"/>
        </w:rPr>
        <w:tab/>
      </w:r>
    </w:p>
    <w:p>
      <w:pPr>
        <w:spacing w:after="0"/>
        <w:rPr>
          <w:szCs w:val="24"/>
        </w:rPr>
      </w:pPr>
      <w:r>
        <w:rPr>
          <w:noProof/>
          <w:szCs w:val="24"/>
        </w:rPr>
        <w:t>Nigel May</w:t>
      </w:r>
      <w:r>
        <w:rPr>
          <w:szCs w:val="24"/>
        </w:rPr>
        <w:tab/>
      </w:r>
    </w:p>
    <w:p>
      <w:pPr>
        <w:spacing w:after="0"/>
        <w:rPr>
          <w:szCs w:val="24"/>
        </w:rPr>
      </w:pPr>
      <w:r>
        <w:rPr>
          <w:noProof/>
          <w:szCs w:val="24"/>
        </w:rPr>
        <w:t>Parkfield Communications Limited</w:t>
      </w:r>
    </w:p>
    <w:p>
      <w:pPr>
        <w:spacing w:after="0"/>
        <w:rPr>
          <w:szCs w:val="24"/>
        </w:rPr>
      </w:pPr>
      <w:r>
        <w:rPr>
          <w:noProof/>
          <w:szCs w:val="24"/>
        </w:rPr>
        <w:t>Parkfield House</w:t>
      </w:r>
    </w:p>
    <w:p>
      <w:pPr>
        <w:spacing w:after="0"/>
        <w:rPr>
          <w:szCs w:val="24"/>
        </w:rPr>
      </w:pPr>
      <w:r>
        <w:rPr>
          <w:noProof/>
          <w:szCs w:val="24"/>
        </w:rPr>
        <w:t>Damerham</w:t>
      </w:r>
    </w:p>
    <w:p>
      <w:pPr>
        <w:spacing w:after="0"/>
        <w:rPr>
          <w:szCs w:val="24"/>
        </w:rPr>
      </w:pPr>
      <w:r>
        <w:rPr>
          <w:noProof/>
          <w:szCs w:val="24"/>
        </w:rPr>
        <w:t>SP6 3HQ</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rFonts w:hint="eastAsia"/>
          <w:szCs w:val="24"/>
        </w:rPr>
        <w:t>：</w:t>
      </w:r>
      <w:r>
        <w:rPr>
          <w:szCs w:val="24"/>
        </w:rPr>
        <w:t xml:space="preserve"> + 44 (0)1725 518321</w:t>
      </w:r>
    </w:p>
    <w:p>
      <w:pPr>
        <w:spacing w:after="0"/>
        <w:rPr>
          <w:szCs w:val="24"/>
        </w:rPr>
      </w:pPr>
      <w:hyperlink r:id="rId14" w:history="1">
        <w:r>
          <w:rPr>
            <w:rStyle w:val="Hyperlink"/>
            <w:rFonts w:cs="Calibri"/>
            <w:noProof/>
            <w:szCs w:val="24"/>
          </w:rPr>
          <w:t>nigel.may@parkfield.co.uk</w:t>
        </w:r>
      </w:hyperlink>
      <w:r>
        <w:rPr>
          <w:noProof/>
          <w:szCs w:val="24"/>
        </w:rPr>
        <w:t xml:space="preserve"> </w:t>
      </w:r>
    </w:p>
    <w:p>
      <w:pPr>
        <w:spacing w:after="0"/>
        <w:rPr>
          <w:szCs w:val="24"/>
        </w:rPr>
      </w:pPr>
      <w:hyperlink r:id="rId15" w:history="1">
        <w:r>
          <w:rPr>
            <w:rStyle w:val="Hyperlink"/>
            <w:rFonts w:cs="Calibri"/>
            <w:noProof/>
            <w:szCs w:val="24"/>
          </w:rPr>
          <w:t>parkfield.co.uk</w:t>
        </w:r>
      </w:hyperlink>
      <w:r>
        <w:rPr>
          <w:noProof/>
          <w:szCs w:val="24"/>
        </w:rPr>
        <w:t xml:space="preserve"> </w:t>
      </w:r>
    </w:p>
    <w:p>
      <w:pPr>
        <w:spacing w:line="260" w:lineRule="auto"/>
        <w:rPr>
          <w:szCs w:val="24"/>
        </w:rPr>
      </w:pPr>
      <w:r>
        <w:rPr>
          <w:szCs w:val="24"/>
        </w:rPr>
        <w:br/>
        <w:t>E2S</w:t>
      </w:r>
      <w:r>
        <w:rPr>
          <w:rFonts w:hint="eastAsia"/>
          <w:szCs w:val="24"/>
          <w:lang w:val="zh-CN"/>
        </w:rPr>
        <w:t>是世界领先的独立信号产品制造商</w:t>
      </w:r>
      <w:r>
        <w:rPr>
          <w:rFonts w:hint="eastAsia"/>
          <w:szCs w:val="24"/>
        </w:rPr>
        <w:t>，</w:t>
      </w:r>
      <w:r>
        <w:rPr>
          <w:rFonts w:hint="eastAsia"/>
          <w:szCs w:val="24"/>
          <w:lang w:val="zh-CN"/>
        </w:rPr>
        <w:t>设计并制造全套工业环境、海洋环境以及危险区域环境用信号产品。公司总部位于英格兰西伦敦。</w:t>
      </w:r>
      <w:r>
        <w:rPr>
          <w:szCs w:val="24"/>
          <w:lang w:val="en-US"/>
        </w:rPr>
        <w:t>E2S</w:t>
      </w:r>
      <w:r>
        <w:rPr>
          <w:rFonts w:hint="eastAsia"/>
          <w:szCs w:val="24"/>
          <w:lang w:val="zh-CN"/>
        </w:rPr>
        <w:t>产品通过销售网络行销全球。经销商详情见公司网站。另外</w:t>
      </w:r>
      <w:r>
        <w:rPr>
          <w:rFonts w:hint="eastAsia"/>
          <w:szCs w:val="24"/>
          <w:lang w:val="en-US"/>
        </w:rPr>
        <w:t>，</w:t>
      </w:r>
      <w:r>
        <w:rPr>
          <w:szCs w:val="24"/>
          <w:lang w:val="en-US"/>
        </w:rPr>
        <w:t>E2S</w:t>
      </w:r>
      <w:r>
        <w:rPr>
          <w:rFonts w:hint="eastAsia"/>
          <w:szCs w:val="24"/>
          <w:lang w:val="zh-CN"/>
        </w:rPr>
        <w:t>在得克萨斯州休斯敦设有专门的经销中心</w:t>
      </w:r>
      <w:r>
        <w:rPr>
          <w:rFonts w:hint="eastAsia"/>
          <w:szCs w:val="24"/>
          <w:lang w:val="en-US"/>
        </w:rPr>
        <w:t>，</w:t>
      </w:r>
      <w:r>
        <w:rPr>
          <w:rFonts w:hint="eastAsia"/>
          <w:szCs w:val="24"/>
          <w:lang w:val="zh-CN"/>
        </w:rPr>
        <w:t>负责当地产品经销和技术支持。</w:t>
      </w:r>
    </w:p>
    <w:p>
      <w:pPr>
        <w:spacing w:after="0"/>
        <w:rPr>
          <w:szCs w:val="24"/>
        </w:rPr>
      </w:pPr>
      <w:r>
        <w:rPr>
          <w:noProof/>
          <w:szCs w:val="24"/>
        </w:rPr>
        <w:t>E2S Warning Signals</w:t>
      </w:r>
    </w:p>
    <w:p>
      <w:pPr>
        <w:spacing w:after="0"/>
        <w:rPr>
          <w:szCs w:val="24"/>
        </w:rPr>
      </w:pPr>
      <w:r>
        <w:rPr>
          <w:noProof/>
          <w:szCs w:val="24"/>
        </w:rPr>
        <w:t>Impress House</w:t>
      </w:r>
    </w:p>
    <w:p>
      <w:pPr>
        <w:spacing w:after="0"/>
        <w:rPr>
          <w:szCs w:val="24"/>
        </w:rPr>
      </w:pPr>
      <w:r>
        <w:rPr>
          <w:noProof/>
          <w:szCs w:val="24"/>
        </w:rPr>
        <w:t>Mansell Road</w:t>
      </w:r>
    </w:p>
    <w:p>
      <w:pPr>
        <w:spacing w:after="0"/>
        <w:rPr>
          <w:szCs w:val="24"/>
        </w:rPr>
      </w:pPr>
      <w:r>
        <w:rPr>
          <w:noProof/>
          <w:szCs w:val="24"/>
        </w:rPr>
        <w:t>London</w:t>
      </w:r>
    </w:p>
    <w:p>
      <w:pPr>
        <w:spacing w:after="0"/>
        <w:rPr>
          <w:szCs w:val="24"/>
        </w:rPr>
      </w:pPr>
      <w:r>
        <w:rPr>
          <w:noProof/>
          <w:szCs w:val="24"/>
        </w:rPr>
        <w:t>W3 7QH</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szCs w:val="24"/>
        </w:rPr>
        <w:t xml:space="preserve"> + 44 (0)20 8743 8880</w:t>
      </w:r>
    </w:p>
    <w:p>
      <w:pPr>
        <w:spacing w:after="0" w:line="260" w:lineRule="auto"/>
        <w:rPr>
          <w:szCs w:val="24"/>
        </w:rPr>
      </w:pPr>
      <w:r>
        <w:rPr>
          <w:rFonts w:hint="eastAsia"/>
          <w:szCs w:val="24"/>
          <w:lang w:val="zh-CN"/>
        </w:rPr>
        <w:t>传真：</w:t>
      </w:r>
      <w:r>
        <w:rPr>
          <w:szCs w:val="24"/>
        </w:rPr>
        <w:t xml:space="preserve"> + 44 (0)20 8740 4200</w:t>
      </w:r>
    </w:p>
    <w:p>
      <w:pPr>
        <w:spacing w:after="0"/>
        <w:rPr>
          <w:szCs w:val="24"/>
        </w:rPr>
      </w:pPr>
      <w:hyperlink r:id="rId16" w:history="1">
        <w:r>
          <w:rPr>
            <w:rStyle w:val="Hyperlink"/>
            <w:rFonts w:cs="Calibri"/>
            <w:noProof/>
            <w:szCs w:val="24"/>
          </w:rPr>
          <w:t>sales@e2s.com</w:t>
        </w:r>
      </w:hyperlink>
      <w:r>
        <w:rPr>
          <w:noProof/>
          <w:szCs w:val="24"/>
        </w:rPr>
        <w:t xml:space="preserve"> </w:t>
      </w:r>
    </w:p>
    <w:p>
      <w:pPr>
        <w:tabs>
          <w:tab w:val="left" w:pos="851"/>
          <w:tab w:val="right" w:pos="9072"/>
        </w:tabs>
        <w:rPr>
          <w:szCs w:val="24"/>
        </w:rPr>
      </w:pPr>
      <w:hyperlink r:id="rId17" w:history="1">
        <w:r>
          <w:rPr>
            <w:rStyle w:val="Hyperlink"/>
            <w:noProof/>
            <w:szCs w:val="24"/>
          </w:rPr>
          <w:t>e2s.com</w:t>
        </w:r>
      </w:hyperlink>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宋体"/>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rFonts w:cs="Times New Roman"/>
      <w:color w:val="0563C1"/>
      <w:u w:val="single"/>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zh-CN"/>
    </w:rPr>
  </w:style>
  <w:style w:type="character" w:customStyle="1" w:styleId="CommentTextChar">
    <w:name w:val="Comment Text Char"/>
    <w:basedOn w:val="DefaultParagraphFont"/>
    <w:link w:val="CommentText"/>
    <w:uiPriority w:val="99"/>
    <w:semiHidden/>
    <w:qFormat/>
    <w:rPr>
      <w:rFonts w:eastAsia="宋体"/>
      <w:sz w:val="20"/>
      <w:lang w:eastAsia="zh-CN"/>
    </w:rPr>
  </w:style>
  <w:style w:type="character" w:customStyle="1" w:styleId="HeaderChar">
    <w:name w:val="Header Char"/>
    <w:basedOn w:val="DefaultParagraphFont"/>
    <w:link w:val="Header"/>
    <w:uiPriority w:val="99"/>
    <w:qFormat/>
    <w:rPr>
      <w:rFonts w:eastAsia="宋体"/>
      <w:szCs w:val="22"/>
      <w:lang w:eastAsia="zh-CN"/>
    </w:rPr>
  </w:style>
  <w:style w:type="character" w:customStyle="1" w:styleId="FooterChar">
    <w:name w:val="Footer Char"/>
    <w:basedOn w:val="DefaultParagraphFont"/>
    <w:link w:val="Footer"/>
    <w:uiPriority w:val="99"/>
    <w:qFormat/>
    <w:rPr>
      <w:rFonts w:eastAsia="宋体"/>
      <w:szCs w:val="22"/>
      <w:lang w:eastAsia="zh-CN"/>
    </w:rPr>
  </w:style>
  <w:style w:type="paragraph" w:customStyle="1" w:styleId="Heading">
    <w:name w:val="Heading"/>
    <w:basedOn w:val="Normal"/>
    <w:next w:val="BodyText"/>
    <w:qFormat/>
    <w:pPr>
      <w:keepNext/>
      <w:spacing w:before="240" w:after="120"/>
    </w:pPr>
    <w:rPr>
      <w:rFonts w:eastAsia="微软雅黑"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qFormat/>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s://www.e2s.com/products/fire-and-industrial/family/rn07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e2s/next-generation-sil2-cn.docx" TargetMode="External"/><Relationship Id="rId12" Type="http://schemas.openxmlformats.org/officeDocument/2006/relationships/hyperlink" Target="https://www.e2s.com/products/fire-and-industrial/family/rn060" TargetMode="External"/><Relationship Id="rId17" Type="http://schemas.openxmlformats.org/officeDocument/2006/relationships/hyperlink" Target="http://www.e2s.com" TargetMode="External"/><Relationship Id="rId2" Type="http://schemas.openxmlformats.org/officeDocument/2006/relationships/settings" Target="settings.xml"/><Relationship Id="rId16" Type="http://schemas.openxmlformats.org/officeDocument/2006/relationships/hyperlink" Target="mailto:sales@e2s.com" TargetMode="External"/><Relationship Id="rId1" Type="http://schemas.openxmlformats.org/officeDocument/2006/relationships/styles" Target="styles.xml"/><Relationship Id="rId6" Type="http://schemas.openxmlformats.org/officeDocument/2006/relationships/hyperlink" Target="https://www.parkfield.co.uk/e2s/next-generation-sil2-print.jpg" TargetMode="External"/><Relationship Id="rId11" Type="http://schemas.openxmlformats.org/officeDocument/2006/relationships/hyperlink" Target="https://www.e2s.com/products/hazardous-area-signalling/family/rn025"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e2s.com/products/hazardous-area-signalling/family/rn03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2s.com/products/hazardous-area-signalling/family/rn035"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4</cp:revision>
  <dcterms:created xsi:type="dcterms:W3CDTF">2023-01-11T10:54:00Z</dcterms:created>
  <dcterms:modified xsi:type="dcterms:W3CDTF">2023-01-11T11:04:00Z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