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tabs>
          <w:tab w:val="left" w:pos="851"/>
          <w:tab w:val="right" w:pos="9072"/>
        </w:tabs>
        <w:rPr>
          <w:rFonts w:ascii="Calibri" w:eastAsia="Calibri" w:hAnsi="Calibri" w:cs="Calibri"/>
          <w:b/>
          <w:bCs/>
          <w:lang w:val="de-DE"/>
        </w:rPr>
      </w:pPr>
      <w:r>
        <w:rPr>
          <w:rFonts w:ascii="Calibri" w:eastAsia="Calibri" w:hAnsi="Calibri" w:cs="Calibri"/>
          <w:b/>
          <w:bCs/>
          <w:lang w:val="de-DE"/>
        </w:rPr>
        <w:t>Veröffentlicht am 10. Januar 2023</w:t>
      </w: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gehen Sie zu </w:t>
      </w:r>
      <w:hyperlink r:id="rId7" w:history="1">
        <w:r>
          <w:rPr>
            <w:rStyle w:val="Hyperlink"/>
            <w:rFonts w:asciiTheme="minorHAnsi" w:hAnsiTheme="minorHAnsi" w:cstheme="minorHAnsi"/>
            <w:b w:val="0"/>
            <w:bCs w:val="0"/>
            <w:szCs w:val="22"/>
            <w:lang w:val="de-DE"/>
          </w:rPr>
          <w:t>parkfield.co.uk/e2s/next-generation-sil2-print.jpg</w:t>
        </w:r>
      </w:hyperlink>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hyperlink r:id="rId8" w:history="1">
        <w:r>
          <w:rPr>
            <w:rStyle w:val="Hyperlink"/>
            <w:rFonts w:cstheme="minorHAnsi"/>
            <w:szCs w:val="22"/>
            <w:lang w:val="de-DE"/>
          </w:rPr>
          <w:t>parkfield.co.uk/e2s/next-generation-sil2-de.docx</w:t>
        </w:r>
      </w:hyperlink>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9" w:history="1">
        <w:r>
          <w:rPr>
            <w:rStyle w:val="Hyperlink"/>
            <w:rFonts w:asciiTheme="minorHAnsi" w:hAnsiTheme="minorHAnsi" w:cstheme="minorHAnsi"/>
            <w:b w:val="0"/>
            <w:szCs w:val="22"/>
            <w:lang w:val="de-DE"/>
          </w:rPr>
          <w:t>https://www.parkfield.co.uk/e2s/</w:t>
        </w:r>
      </w:hyperlink>
    </w:p>
    <w:p>
      <w:pPr>
        <w:tabs>
          <w:tab w:val="left" w:pos="851"/>
          <w:tab w:val="right" w:pos="9072"/>
        </w:tabs>
        <w:rPr>
          <w:rFonts w:ascii="Calibri" w:eastAsia="SimSun" w:hAnsi="Calibri" w:cs="Times New Roman"/>
          <w:snapToGrid w:val="0"/>
          <w:szCs w:val="20"/>
          <w:lang w:val="de-DE" w:eastAsia="zh-CN"/>
        </w:rPr>
      </w:pPr>
      <w:r>
        <w:rPr>
          <w:rFonts w:cs="Arial"/>
          <w:b/>
          <w:lang w:val="de-DE" w:eastAsia="en-GB"/>
        </w:rPr>
        <w:br/>
      </w:r>
      <w:r>
        <w:rPr>
          <w:rFonts w:ascii="Calibri" w:eastAsia="SimSun" w:hAnsi="Calibri" w:cs="Times New Roman"/>
          <w:b/>
          <w:bCs/>
          <w:snapToGrid w:val="0"/>
          <w:szCs w:val="20"/>
          <w:lang w:val="de-DE" w:eastAsia="zh-CN"/>
        </w:rPr>
        <w:t>SIL-konforme Warnsignalgeber der nächsten Generation</w:t>
      </w:r>
      <w:r>
        <w:rPr>
          <w:rFonts w:ascii="Calibri" w:eastAsia="SimSun" w:hAnsi="Calibri" w:cs="Times New Roman"/>
          <w:snapToGrid w:val="0"/>
          <w:szCs w:val="20"/>
          <w:lang w:val="de-DE" w:eastAsia="zh-CN"/>
        </w:rPr>
        <w:br/>
      </w:r>
      <w:r>
        <w:rPr>
          <w:rFonts w:ascii="Calibri" w:eastAsia="SimSun" w:hAnsi="Calibri" w:cs="Times New Roman"/>
          <w:snapToGrid w:val="0"/>
          <w:szCs w:val="20"/>
          <w:lang w:val="de-DE" w:eastAsia="zh-CN"/>
        </w:rPr>
        <w:br/>
        <w:t xml:space="preserve">E2S </w:t>
      </w:r>
      <w:proofErr w:type="spellStart"/>
      <w:r>
        <w:rPr>
          <w:rFonts w:ascii="Calibri" w:eastAsia="SimSun" w:hAnsi="Calibri" w:cs="Times New Roman"/>
          <w:snapToGrid w:val="0"/>
          <w:szCs w:val="20"/>
          <w:lang w:val="de-DE" w:eastAsia="zh-CN"/>
        </w:rPr>
        <w:t>Warning</w:t>
      </w:r>
      <w:proofErr w:type="spellEnd"/>
      <w:r>
        <w:rPr>
          <w:rFonts w:ascii="Calibri" w:eastAsia="SimSun" w:hAnsi="Calibri" w:cs="Times New Roman"/>
          <w:snapToGrid w:val="0"/>
          <w:szCs w:val="20"/>
          <w:lang w:val="de-DE" w:eastAsia="zh-CN"/>
        </w:rPr>
        <w:t xml:space="preserve"> Signals, der weltweit führende unabhängige Hersteller von Warnsignalgebern für Industrie, Schifffahrt und den Ex-geschützten Bereich, freut sich, die Einführung der nächsten Generation von SIL1- und SIL2-konformen Warngeräten anzukündigen.</w:t>
      </w:r>
    </w:p>
    <w:p>
      <w:pPr>
        <w:widowControl w:val="0"/>
        <w:tabs>
          <w:tab w:val="left" w:pos="851"/>
          <w:tab w:val="right" w:pos="9072"/>
        </w:tabs>
        <w:spacing w:after="0" w:line="240" w:lineRule="auto"/>
        <w:rPr>
          <w:rFonts w:ascii="Calibri" w:eastAsia="SimSun" w:hAnsi="Calibri" w:cs="Times New Roman"/>
          <w:snapToGrid w:val="0"/>
          <w:szCs w:val="20"/>
          <w:lang w:val="de-DE" w:eastAsia="zh-CN"/>
        </w:rPr>
      </w:pPr>
      <w:r>
        <w:rPr>
          <w:rFonts w:ascii="Calibri" w:eastAsia="SimSun" w:hAnsi="Calibri" w:cs="Times New Roman"/>
          <w:snapToGrid w:val="0"/>
          <w:szCs w:val="20"/>
          <w:lang w:val="de-DE" w:eastAsia="zh-CN"/>
        </w:rPr>
        <w:t xml:space="preserve">Die Produktreihen </w:t>
      </w:r>
      <w:hyperlink r:id="rId10" w:history="1">
        <w:r>
          <w:rPr>
            <w:rFonts w:ascii="Calibri" w:eastAsia="SimSun" w:hAnsi="Calibri" w:cs="Times New Roman"/>
            <w:snapToGrid w:val="0"/>
            <w:color w:val="0000FF"/>
            <w:szCs w:val="20"/>
            <w:u w:val="single"/>
            <w:lang w:val="de-DE" w:eastAsia="zh-CN"/>
          </w:rPr>
          <w:t>D1x</w:t>
        </w:r>
      </w:hyperlink>
      <w:r>
        <w:rPr>
          <w:rFonts w:ascii="Calibri" w:eastAsia="SimSun" w:hAnsi="Calibri" w:cs="Times New Roman"/>
          <w:snapToGrid w:val="0"/>
          <w:szCs w:val="20"/>
          <w:lang w:val="de-DE" w:eastAsia="zh-CN"/>
        </w:rPr>
        <w:t xml:space="preserve">, </w:t>
      </w:r>
      <w:hyperlink r:id="rId11" w:history="1">
        <w:r>
          <w:rPr>
            <w:rFonts w:ascii="Calibri" w:eastAsia="SimSun" w:hAnsi="Calibri" w:cs="Times New Roman"/>
            <w:snapToGrid w:val="0"/>
            <w:color w:val="0000FF"/>
            <w:szCs w:val="20"/>
            <w:u w:val="single"/>
            <w:lang w:val="de-DE" w:eastAsia="zh-CN"/>
          </w:rPr>
          <w:t>GNEx</w:t>
        </w:r>
      </w:hyperlink>
      <w:r>
        <w:rPr>
          <w:rFonts w:ascii="Calibri" w:eastAsia="SimSun" w:hAnsi="Calibri" w:cs="Times New Roman"/>
          <w:snapToGrid w:val="0"/>
          <w:szCs w:val="20"/>
          <w:lang w:val="de-DE" w:eastAsia="zh-CN"/>
        </w:rPr>
        <w:t xml:space="preserve">, </w:t>
      </w:r>
      <w:hyperlink r:id="rId12" w:history="1">
        <w:r>
          <w:rPr>
            <w:rFonts w:ascii="Calibri" w:eastAsia="SimSun" w:hAnsi="Calibri" w:cs="Times New Roman"/>
            <w:snapToGrid w:val="0"/>
            <w:color w:val="0000FF"/>
            <w:szCs w:val="20"/>
            <w:u w:val="single"/>
            <w:lang w:val="de-DE" w:eastAsia="zh-CN"/>
          </w:rPr>
          <w:t>STEx</w:t>
        </w:r>
      </w:hyperlink>
      <w:r>
        <w:rPr>
          <w:rFonts w:ascii="Calibri" w:eastAsia="SimSun" w:hAnsi="Calibri" w:cs="Times New Roman"/>
          <w:snapToGrid w:val="0"/>
          <w:szCs w:val="20"/>
          <w:lang w:val="de-DE" w:eastAsia="zh-CN"/>
        </w:rPr>
        <w:t xml:space="preserve">, </w:t>
      </w:r>
      <w:hyperlink r:id="rId13" w:history="1">
        <w:r>
          <w:rPr>
            <w:rFonts w:ascii="Calibri" w:eastAsia="SimSun" w:hAnsi="Calibri" w:cs="Times New Roman"/>
            <w:snapToGrid w:val="0"/>
            <w:color w:val="0000FF"/>
            <w:szCs w:val="20"/>
            <w:u w:val="single"/>
            <w:lang w:val="de-DE" w:eastAsia="zh-CN"/>
          </w:rPr>
          <w:t>AlertAlarm</w:t>
        </w:r>
      </w:hyperlink>
      <w:r>
        <w:rPr>
          <w:rFonts w:ascii="Calibri" w:eastAsia="SimSun" w:hAnsi="Calibri" w:cs="Times New Roman"/>
          <w:snapToGrid w:val="0"/>
          <w:szCs w:val="20"/>
          <w:lang w:val="de-DE" w:eastAsia="zh-CN"/>
        </w:rPr>
        <w:t xml:space="preserve"> und </w:t>
      </w:r>
      <w:hyperlink r:id="rId14" w:history="1">
        <w:r>
          <w:rPr>
            <w:rFonts w:ascii="Calibri" w:eastAsia="SimSun" w:hAnsi="Calibri" w:cs="Times New Roman"/>
            <w:snapToGrid w:val="0"/>
            <w:color w:val="0000FF"/>
            <w:szCs w:val="20"/>
            <w:u w:val="single"/>
            <w:lang w:val="de-DE" w:eastAsia="zh-CN"/>
          </w:rPr>
          <w:t>AlertAlight</w:t>
        </w:r>
      </w:hyperlink>
      <w:r>
        <w:rPr>
          <w:rFonts w:ascii="Calibri" w:eastAsia="SimSun" w:hAnsi="Calibri" w:cs="Times New Roman"/>
          <w:snapToGrid w:val="0"/>
          <w:color w:val="0000FF"/>
          <w:szCs w:val="20"/>
          <w:u w:val="single"/>
          <w:lang w:val="de-DE" w:eastAsia="zh-CN"/>
        </w:rPr>
        <w:t>,</w:t>
      </w:r>
      <w:r>
        <w:rPr>
          <w:rFonts w:ascii="Calibri" w:eastAsia="SimSun" w:hAnsi="Calibri" w:cs="Times New Roman"/>
          <w:snapToGrid w:val="0"/>
          <w:szCs w:val="20"/>
          <w:lang w:val="de-DE" w:eastAsia="zh-CN"/>
        </w:rPr>
        <w:t xml:space="preserve"> die Alarmtongeber, LED- und Xenon-Blitzleuchten sowie kombinierte akustischen und optischen Warnsignalgeber umfassen, sind jetzt standardmäßig SIL1- und SIL2-konform. Diese weltweit zugelassene Reihe von Signalgebern steht an der Spitze der lebensrettenden Signaltechnologie für Anwendungen in Gefahren- und Sicherheitsbereichen.</w:t>
      </w:r>
    </w:p>
    <w:p>
      <w:pPr>
        <w:widowControl w:val="0"/>
        <w:tabs>
          <w:tab w:val="left" w:pos="851"/>
          <w:tab w:val="right" w:pos="9072"/>
        </w:tabs>
        <w:spacing w:after="0" w:line="240" w:lineRule="auto"/>
        <w:rPr>
          <w:rFonts w:ascii="Calibri" w:eastAsia="SimSun" w:hAnsi="Calibri" w:cs="Times New Roman"/>
          <w:snapToGrid w:val="0"/>
          <w:szCs w:val="20"/>
          <w:lang w:val="de-DE" w:eastAsia="zh-CN"/>
        </w:rPr>
      </w:pPr>
    </w:p>
    <w:p>
      <w:pPr>
        <w:widowControl w:val="0"/>
        <w:tabs>
          <w:tab w:val="left" w:pos="851"/>
          <w:tab w:val="right" w:pos="9072"/>
        </w:tabs>
        <w:spacing w:after="0" w:line="240" w:lineRule="auto"/>
        <w:rPr>
          <w:rFonts w:ascii="Calibri" w:eastAsia="SimSun" w:hAnsi="Calibri" w:cs="Times New Roman"/>
          <w:snapToGrid w:val="0"/>
          <w:szCs w:val="20"/>
          <w:lang w:val="de-DE" w:eastAsia="zh-CN"/>
        </w:rPr>
      </w:pPr>
      <w:r>
        <w:rPr>
          <w:rFonts w:ascii="Calibri" w:eastAsia="SimSun" w:hAnsi="Calibri" w:cs="Times New Roman"/>
          <w:snapToGrid w:val="0"/>
          <w:szCs w:val="20"/>
          <w:lang w:val="de-DE" w:eastAsia="zh-CN"/>
        </w:rPr>
        <w:t xml:space="preserve">Die SIL1- und SIL2-Konformität der Produktreihe wurde auf der Grundlage der zur Verfügung stehenden umfassenden Zuverlässigkeitsdaten bei PFD-Analyse von unabhängigen Sachverständigen bestätigt. Die Produkte wurden nach IEC 61508 (Zufällige Hardwareausfälle und systematische Ausfälle der sicherheitsrelevanten Komponenten, Ausgabe 2010, Pfad 2H) bewertet. Da Konformität in einer 1oo1-Architektur erreicht wird, ist keine Redundanz oder Doppelausführung von Geräten erforderlich. </w:t>
      </w:r>
    </w:p>
    <w:p>
      <w:pPr>
        <w:widowControl w:val="0"/>
        <w:tabs>
          <w:tab w:val="left" w:pos="851"/>
          <w:tab w:val="right" w:pos="9072"/>
        </w:tabs>
        <w:spacing w:after="0" w:line="240" w:lineRule="auto"/>
        <w:rPr>
          <w:rFonts w:ascii="Calibri" w:eastAsia="SimSun" w:hAnsi="Calibri" w:cs="Times New Roman"/>
          <w:snapToGrid w:val="0"/>
          <w:szCs w:val="20"/>
          <w:lang w:val="de-DE" w:eastAsia="zh-CN"/>
        </w:rPr>
      </w:pPr>
    </w:p>
    <w:p>
      <w:pPr>
        <w:widowControl w:val="0"/>
        <w:tabs>
          <w:tab w:val="left" w:pos="851"/>
          <w:tab w:val="right" w:pos="9072"/>
        </w:tabs>
        <w:spacing w:after="0" w:line="240" w:lineRule="auto"/>
        <w:rPr>
          <w:rFonts w:ascii="Calibri" w:eastAsia="SimSun" w:hAnsi="Calibri" w:cs="Times New Roman"/>
          <w:snapToGrid w:val="0"/>
          <w:szCs w:val="20"/>
          <w:lang w:val="de-DE" w:eastAsia="zh-CN"/>
        </w:rPr>
      </w:pPr>
      <w:r>
        <w:rPr>
          <w:rFonts w:ascii="Calibri" w:eastAsia="SimSun" w:hAnsi="Calibri" w:cs="Times New Roman"/>
          <w:snapToGrid w:val="0"/>
          <w:szCs w:val="20"/>
          <w:lang w:val="de-DE" w:eastAsia="zh-CN"/>
        </w:rPr>
        <w:t>Neben der oben beschriebenen SIL1- und SIL2-Standardkonformität kann das einzigartige E2S SIL2-Diagnosemodul in die Spezifikation aufgenommen werden, um eine branchenführende Lösung für Sicherheitssysteme zur Verfügung zu stellen, die Warnsignale mit aktiver Diagnose und SIL2-Konformität über Pfad 1H in einer 1oo1-Konfiguration erfordern. Das Modul ist werkseitig in die Signalelektronik integriert, sodass der Diagnoseschaltkreis die akustische oder visuelle Signalausgabe bewerten kann. Jeder erkannte Ausfall der Stromversorgung und jedes nicht aktivierte Ereignis wird über den Ausgang des Diagnoserelais an das Steuersystem gemeldet. Die SIL2-konforme Version des Diagnosemoduls ist jetzt für die Produktreihen D1x, BEx, GNEx und STEx explosionsgeschützter akustischer und optischer Signalgeber in Aluminium-, GFK- oder Edelstahlgehäusen in Marinequalität erhältlich.</w:t>
      </w:r>
    </w:p>
    <w:p>
      <w:pPr>
        <w:widowControl w:val="0"/>
        <w:tabs>
          <w:tab w:val="left" w:pos="851"/>
          <w:tab w:val="right" w:pos="9072"/>
        </w:tabs>
        <w:spacing w:after="0" w:line="240" w:lineRule="auto"/>
        <w:rPr>
          <w:rFonts w:ascii="Calibri" w:eastAsia="SimSun" w:hAnsi="Calibri" w:cs="Times New Roman"/>
          <w:snapToGrid w:val="0"/>
          <w:szCs w:val="20"/>
          <w:lang w:val="de-DE" w:eastAsia="zh-CN"/>
        </w:rPr>
      </w:pPr>
    </w:p>
    <w:p>
      <w:pPr>
        <w:widowControl w:val="0"/>
        <w:tabs>
          <w:tab w:val="left" w:pos="851"/>
          <w:tab w:val="right" w:pos="9072"/>
        </w:tabs>
        <w:spacing w:after="0" w:line="240" w:lineRule="auto"/>
        <w:rPr>
          <w:rFonts w:ascii="Calibri" w:eastAsia="SimSun" w:hAnsi="Calibri" w:cs="Times New Roman"/>
          <w:snapToGrid w:val="0"/>
          <w:szCs w:val="20"/>
          <w:lang w:val="de-DE" w:eastAsia="zh-CN"/>
        </w:rPr>
      </w:pPr>
      <w:r>
        <w:rPr>
          <w:rFonts w:ascii="Calibri" w:eastAsia="SimSun" w:hAnsi="Calibri" w:cs="Times New Roman"/>
          <w:snapToGrid w:val="0"/>
          <w:szCs w:val="20"/>
          <w:lang w:val="de-DE" w:eastAsia="zh-CN"/>
        </w:rPr>
        <w:t xml:space="preserve">Die E2S-Sicherheitssysteme für die manuelle </w:t>
      </w:r>
      <w:proofErr w:type="gramStart"/>
      <w:r>
        <w:rPr>
          <w:rFonts w:ascii="Calibri" w:eastAsia="SimSun" w:hAnsi="Calibri" w:cs="Times New Roman"/>
          <w:snapToGrid w:val="0"/>
          <w:szCs w:val="20"/>
          <w:lang w:val="de-DE" w:eastAsia="zh-CN"/>
        </w:rPr>
        <w:t>Auslösung  in</w:t>
      </w:r>
      <w:proofErr w:type="gramEnd"/>
      <w:r>
        <w:rPr>
          <w:rFonts w:ascii="Calibri" w:eastAsia="SimSun" w:hAnsi="Calibri" w:cs="Times New Roman"/>
          <w:snapToGrid w:val="0"/>
          <w:szCs w:val="20"/>
          <w:lang w:val="de-DE" w:eastAsia="zh-CN"/>
        </w:rPr>
        <w:t xml:space="preserve"> Glasbruch- und </w:t>
      </w:r>
      <w:proofErr w:type="spellStart"/>
      <w:r>
        <w:rPr>
          <w:rFonts w:ascii="Calibri" w:eastAsia="SimSun" w:hAnsi="Calibri" w:cs="Times New Roman"/>
          <w:snapToGrid w:val="0"/>
          <w:szCs w:val="20"/>
          <w:lang w:val="de-DE" w:eastAsia="zh-CN"/>
        </w:rPr>
        <w:t>Drucktasterausführung</w:t>
      </w:r>
      <w:proofErr w:type="spellEnd"/>
      <w:r>
        <w:rPr>
          <w:rFonts w:ascii="Calibri" w:eastAsia="SimSun" w:hAnsi="Calibri" w:cs="Times New Roman"/>
          <w:snapToGrid w:val="0"/>
          <w:szCs w:val="20"/>
          <w:lang w:val="de-DE" w:eastAsia="zh-CN"/>
        </w:rPr>
        <w:t xml:space="preserve"> mit Tool-</w:t>
      </w:r>
      <w:proofErr w:type="spellStart"/>
      <w:r>
        <w:rPr>
          <w:rFonts w:ascii="Calibri" w:eastAsia="SimSun" w:hAnsi="Calibri" w:cs="Times New Roman"/>
          <w:snapToGrid w:val="0"/>
          <w:szCs w:val="20"/>
          <w:lang w:val="de-DE" w:eastAsia="zh-CN"/>
        </w:rPr>
        <w:t>Reset</w:t>
      </w:r>
      <w:proofErr w:type="spellEnd"/>
      <w:r>
        <w:rPr>
          <w:rFonts w:ascii="Calibri" w:eastAsia="SimSun" w:hAnsi="Calibri" w:cs="Times New Roman"/>
          <w:snapToGrid w:val="0"/>
          <w:szCs w:val="20"/>
          <w:lang w:val="de-DE" w:eastAsia="zh-CN"/>
        </w:rPr>
        <w:t xml:space="preserve">, </w:t>
      </w:r>
      <w:r>
        <w:rPr>
          <w:rFonts w:ascii="Calibri" w:eastAsia="SimSun" w:hAnsi="Calibri" w:cs="Times New Roman"/>
          <w:bCs/>
          <w:snapToGrid w:val="0"/>
          <w:szCs w:val="20"/>
          <w:lang w:val="de-DE" w:eastAsia="zh-CN"/>
        </w:rPr>
        <w:t>Kurzzeit- und Doppelbetätigung</w:t>
      </w:r>
      <w:r>
        <w:rPr>
          <w:rFonts w:ascii="Calibri" w:eastAsia="SimSun" w:hAnsi="Calibri" w:cs="Times New Roman"/>
          <w:snapToGrid w:val="0"/>
          <w:szCs w:val="20"/>
          <w:lang w:val="de-DE" w:eastAsia="zh-CN"/>
        </w:rPr>
        <w:t xml:space="preserve"> sind ebenfalls standardmäßig SIL1- und SIL2-konform.</w:t>
      </w:r>
    </w:p>
    <w:p>
      <w:pPr>
        <w:widowControl w:val="0"/>
        <w:tabs>
          <w:tab w:val="left" w:pos="851"/>
          <w:tab w:val="right" w:pos="9072"/>
        </w:tabs>
        <w:spacing w:after="0" w:line="240" w:lineRule="auto"/>
        <w:rPr>
          <w:rFonts w:ascii="Calibri" w:eastAsia="SimSun" w:hAnsi="Calibri" w:cs="Times New Roman"/>
          <w:snapToGrid w:val="0"/>
          <w:szCs w:val="20"/>
          <w:lang w:val="de-DE" w:eastAsia="zh-CN"/>
        </w:rPr>
      </w:pPr>
    </w:p>
    <w:p>
      <w:pPr>
        <w:widowControl w:val="0"/>
        <w:tabs>
          <w:tab w:val="left" w:pos="851"/>
          <w:tab w:val="right" w:pos="9072"/>
        </w:tabs>
        <w:spacing w:after="0" w:line="240" w:lineRule="auto"/>
        <w:rPr>
          <w:rFonts w:ascii="Calibri" w:eastAsia="SimSun" w:hAnsi="Calibri" w:cs="Times New Roman"/>
          <w:snapToGrid w:val="0"/>
          <w:szCs w:val="20"/>
          <w:lang w:val="de-DE" w:eastAsia="zh-CN"/>
        </w:rPr>
      </w:pPr>
      <w:r>
        <w:rPr>
          <w:rFonts w:ascii="Calibri" w:eastAsia="SimSun" w:hAnsi="Calibri" w:cs="Times New Roman"/>
          <w:snapToGrid w:val="0"/>
          <w:szCs w:val="20"/>
          <w:lang w:val="de-DE" w:eastAsia="zh-CN"/>
        </w:rPr>
        <w:t>*** Endet: Haupttext 2</w:t>
      </w:r>
      <w:r>
        <w:rPr>
          <w:rFonts w:ascii="Calibri" w:eastAsia="SimSun" w:hAnsi="Calibri" w:cs="Times New Roman"/>
          <w:snapToGrid w:val="0"/>
          <w:szCs w:val="20"/>
          <w:lang w:val="de-DE" w:eastAsia="zh-CN"/>
        </w:rPr>
        <w:t>59</w:t>
      </w:r>
      <w:r>
        <w:rPr>
          <w:rFonts w:ascii="Calibri" w:eastAsia="SimSun" w:hAnsi="Calibri" w:cs="Times New Roman"/>
          <w:snapToGrid w:val="0"/>
          <w:szCs w:val="20"/>
          <w:lang w:val="de-DE" w:eastAsia="zh-CN"/>
        </w:rPr>
        <w:t xml:space="preserve"> Wörter ***</w:t>
      </w:r>
    </w:p>
    <w:p>
      <w:pPr>
        <w:widowControl w:val="0"/>
        <w:tabs>
          <w:tab w:val="left" w:pos="851"/>
          <w:tab w:val="right" w:pos="9072"/>
        </w:tabs>
        <w:spacing w:after="0" w:line="240" w:lineRule="auto"/>
        <w:rPr>
          <w:rFonts w:ascii="Calibri" w:eastAsia="SimSun" w:hAnsi="Calibri" w:cs="Times New Roman"/>
          <w:snapToGrid w:val="0"/>
          <w:szCs w:val="20"/>
          <w:lang w:val="de-DE" w:eastAsia="zh-CN"/>
        </w:rPr>
      </w:pPr>
    </w:p>
    <w:p>
      <w:pPr>
        <w:spacing w:after="0" w:line="240" w:lineRule="auto"/>
        <w:rPr>
          <w:rFonts w:cs="Arial"/>
          <w:b/>
          <w:lang w:val="de-DE" w:eastAsia="en-GB"/>
        </w:rPr>
      </w:pPr>
      <w:r>
        <w:rPr>
          <w:rFonts w:cs="Arial"/>
          <w:b/>
          <w:lang w:val="de-DE" w:eastAsia="en-GB"/>
        </w:rPr>
        <w:br w:type="page"/>
      </w:r>
    </w:p>
    <w:p>
      <w:pPr>
        <w:spacing w:after="0" w:line="240" w:lineRule="auto"/>
        <w:rPr>
          <w:rFonts w:cs="Arial"/>
          <w:b/>
          <w:lang w:val="de-DE" w:eastAsia="en-GB"/>
        </w:rPr>
      </w:pPr>
      <w:r>
        <w:rPr>
          <w:rFonts w:cs="Arial"/>
          <w:b/>
          <w:lang w:val="de-DE" w:eastAsia="en-GB"/>
        </w:rPr>
        <w:lastRenderedPageBreak/>
        <w:t>Hinweise an die Redaktion:</w:t>
      </w:r>
    </w:p>
    <w:p>
      <w:pPr>
        <w:spacing w:after="0" w:line="240" w:lineRule="auto"/>
        <w:rPr>
          <w:rFonts w:cs="Arial"/>
          <w:lang w:val="de-DE" w:eastAsia="en-GB"/>
        </w:rPr>
      </w:pPr>
    </w:p>
    <w:p>
      <w:pPr>
        <w:spacing w:after="0" w:line="240" w:lineRule="auto"/>
        <w:rPr>
          <w:rFonts w:cs="Arial"/>
          <w:lang w:val="de-DE" w:eastAsia="en-GB"/>
        </w:rPr>
      </w:pPr>
      <w:r>
        <w:rPr>
          <w:rFonts w:cs="Arial"/>
          <w:lang w:val="de-DE" w:eastAsia="en-GB"/>
        </w:rPr>
        <w:t>Im Falle weiterer Rückfragen kontaktieren Sie bitte:</w:t>
      </w:r>
    </w:p>
    <w:p>
      <w:pPr>
        <w:spacing w:after="0" w:line="240" w:lineRule="auto"/>
        <w:rPr>
          <w:rFonts w:cs="Arial"/>
          <w:lang w:eastAsia="en-GB"/>
        </w:rPr>
      </w:pPr>
      <w:r>
        <w:rPr>
          <w:rFonts w:cs="Arial"/>
          <w:lang w:eastAsia="en-GB"/>
        </w:rPr>
        <w:t>Nigel May</w:t>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(0)1725 518321</w:t>
      </w:r>
    </w:p>
    <w:bookmarkStart w:id="0" w:name="_GoBack"/>
    <w:bookmarkEnd w:id="0"/>
    <w:p>
      <w:pPr>
        <w:spacing w:after="0" w:line="240" w:lineRule="auto"/>
        <w:rPr>
          <w:rFonts w:cs="Arial"/>
          <w:lang w:eastAsia="en-GB"/>
        </w:rPr>
      </w:pPr>
      <w:r>
        <w:fldChar w:fldCharType="begin"/>
      </w:r>
      <w:r>
        <w:instrText xml:space="preserve"> HYPERLINK "mailto:nigel.may@parkfield.co.uk" </w:instrText>
      </w:r>
      <w:r>
        <w:fldChar w:fldCharType="separate"/>
      </w:r>
      <w:r>
        <w:rPr>
          <w:rStyle w:val="Hyperlink"/>
          <w:rFonts w:cs="Arial"/>
          <w:lang w:eastAsia="en-GB"/>
        </w:rPr>
        <w:t>nigel.may@parkfield.co.uk</w:t>
      </w:r>
      <w:r>
        <w:rPr>
          <w:rStyle w:val="Hyperlink"/>
          <w:rFonts w:cs="Arial"/>
          <w:lang w:val="fr-FR" w:eastAsia="en-GB"/>
        </w:rPr>
        <w:fldChar w:fldCharType="end"/>
      </w:r>
      <w:r>
        <w:rPr>
          <w:rFonts w:cs="Arial"/>
          <w:lang w:eastAsia="en-GB"/>
        </w:rPr>
        <w:t xml:space="preserve"> </w:t>
      </w:r>
    </w:p>
    <w:p>
      <w:pPr>
        <w:spacing w:after="0" w:line="240" w:lineRule="auto"/>
        <w:rPr>
          <w:rFonts w:cs="Arial"/>
          <w:lang w:eastAsia="en-GB"/>
        </w:rPr>
      </w:pPr>
      <w:hyperlink r:id="rId15" w:history="1">
        <w:r>
          <w:rPr>
            <w:rStyle w:val="Hyperlink"/>
            <w:rFonts w:cs="Arial"/>
            <w:lang w:eastAsia="en-GB"/>
          </w:rPr>
          <w:t>parkfield.co.uk</w:t>
        </w:r>
      </w:hyperlink>
      <w:r>
        <w:rPr>
          <w:rFonts w:cs="Arial"/>
          <w:lang w:eastAsia="en-GB"/>
        </w:rPr>
        <w:t xml:space="preserve"> </w:t>
      </w:r>
    </w:p>
    <w:p>
      <w:pPr>
        <w:spacing w:after="0" w:line="240" w:lineRule="auto"/>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spacing w:after="0" w:line="240" w:lineRule="auto"/>
        <w:rPr>
          <w:rFonts w:cs="Arial"/>
          <w:lang w:val="de-DE"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val="de-DE" w:eastAsia="en-GB"/>
        </w:rPr>
      </w:pPr>
      <w:r>
        <w:rPr>
          <w:rFonts w:cs="Arial"/>
          <w:lang w:val="de-DE" w:eastAsia="en-GB"/>
        </w:rPr>
        <w:t>London</w:t>
      </w:r>
    </w:p>
    <w:p>
      <w:pPr>
        <w:spacing w:after="0" w:line="240" w:lineRule="auto"/>
        <w:rPr>
          <w:rFonts w:cs="Arial"/>
          <w:lang w:val="de-DE" w:eastAsia="en-GB"/>
        </w:rPr>
      </w:pPr>
      <w:r>
        <w:rPr>
          <w:rFonts w:cs="Arial"/>
          <w:lang w:val="de-DE" w:eastAsia="en-GB"/>
        </w:rPr>
        <w:t>W3 7QH</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6"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7" w:history="1">
        <w:r>
          <w:rPr>
            <w:rStyle w:val="Hyperlink"/>
            <w:rFonts w:cs="Arial"/>
            <w:lang w:val="pt-BR" w:eastAsia="en-GB"/>
          </w:rPr>
          <w:t>e2s.com</w:t>
        </w:r>
      </w:hyperlink>
    </w:p>
    <w:p>
      <w:pPr>
        <w:tabs>
          <w:tab w:val="left" w:pos="851"/>
          <w:tab w:val="right" w:pos="9072"/>
        </w:tabs>
        <w:rPr>
          <w:lang w:val="pt-BR"/>
        </w:rPr>
      </w:pPr>
    </w:p>
    <w:p>
      <w:pPr>
        <w:widowControl w:val="0"/>
        <w:tabs>
          <w:tab w:val="left" w:pos="851"/>
          <w:tab w:val="right" w:pos="9072"/>
        </w:tabs>
        <w:spacing w:after="0" w:line="240" w:lineRule="auto"/>
        <w:rPr>
          <w:rFonts w:ascii="Calibri" w:eastAsia="SimSun" w:hAnsi="Calibri" w:cs="Times New Roman"/>
          <w:snapToGrid w:val="0"/>
          <w:szCs w:val="20"/>
          <w:lang w:val="de-DE" w:eastAsia="zh-CN"/>
        </w:rPr>
      </w:pP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rFonts w:ascii="Calibri" w:hAnsi="Calibri"/>
      <w:szCs w:val="21"/>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paragraph" w:styleId="PlainText">
    <w:name w:val="Plain Text"/>
    <w:basedOn w:val="Normal"/>
    <w:link w:val="PlainTextChar"/>
    <w:uiPriority w:val="99"/>
    <w:semiHidden/>
    <w:unhideWhenUsed/>
    <w:qFormat/>
    <w:pPr>
      <w:spacing w:after="0" w:line="240" w:lineRule="auto"/>
    </w:pPr>
    <w:rPr>
      <w:rFonts w:ascii="Calibri" w:hAnsi="Calibri"/>
      <w:szCs w:val="2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next-generation-sil2-de.docx" TargetMode="External"/><Relationship Id="rId13" Type="http://schemas.openxmlformats.org/officeDocument/2006/relationships/hyperlink" Target="https://www.e2s.com/products/fire-and-industrial/family/rn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kfield.co.uk/e2s/next-generation-sil2-print.jpg"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http://www.e2s.com" TargetMode="External"/><Relationship Id="rId2" Type="http://schemas.openxmlformats.org/officeDocument/2006/relationships/styles" Target="styles.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2s.com/products/hazardous-area-signalling/family/rn030" TargetMode="External"/><Relationship Id="rId5" Type="http://schemas.openxmlformats.org/officeDocument/2006/relationships/footnotes" Target="footnotes.xml"/><Relationship Id="rId15" Type="http://schemas.openxmlformats.org/officeDocument/2006/relationships/hyperlink" Target="http://www.parkfield.co.uk" TargetMode="External"/><Relationship Id="rId10" Type="http://schemas.openxmlformats.org/officeDocument/2006/relationships/hyperlink" Target="https://www.e2s.com/products/hazardous-area-signalling/family/rn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s/fire-and-industrial/family/rn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CD0E-DD8F-44EC-A046-B7634D33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2023-01-10T11:44:00Z</dcterms:created>
  <dcterms:modified xsi:type="dcterms:W3CDTF">2023-01-10T11:44:00Z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