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spacing w:after="0" w:line="240" w:lineRule="auto"/>
        <w:rPr>
          <w:rFonts w:cstheme="minorHAnsi"/>
          <w:bCs/>
          <w:color w:val="C00000"/>
          <w:kern w:val="2"/>
          <w:sz w:val="52"/>
          <w:szCs w:val="52"/>
          <w:lang w:val="es-ES"/>
        </w:rPr>
      </w:pPr>
      <w:r>
        <w:rPr>
          <w:rFonts w:cstheme="minorHAnsi"/>
          <w:bCs/>
          <w:color w:val="C00000"/>
          <w:kern w:val="2"/>
          <w:sz w:val="50"/>
          <w:szCs w:val="50"/>
          <w:lang w:val="es-ES"/>
        </w:rPr>
        <w:t>Información para la prensa</w:t>
      </w:r>
    </w:p>
    <w:p>
      <w:pPr>
        <w:tabs>
          <w:tab w:val="left" w:pos="851"/>
          <w:tab w:val="right" w:pos="9072"/>
        </w:tabs>
        <w:spacing w:after="0" w:line="240" w:lineRule="auto"/>
        <w:rPr>
          <w:rFonts w:cstheme="minorHAnsi"/>
          <w:b/>
          <w:bCs/>
          <w:kern w:val="2"/>
          <w:lang w:val="es-ES"/>
        </w:rPr>
      </w:pPr>
      <w:proofErr w:type="spellStart"/>
      <w:r>
        <w:rPr>
          <w:rFonts w:eastAsia="Calibri" w:cs="Calibri"/>
          <w:b/>
          <w:bCs/>
        </w:rPr>
        <w:t>Publicado</w:t>
      </w:r>
      <w:proofErr w:type="spellEnd"/>
      <w:r>
        <w:rPr>
          <w:rFonts w:eastAsia="Calibri" w:cs="Calibri"/>
          <w:b/>
          <w:bCs/>
        </w:rPr>
        <w:t xml:space="preserve"> </w:t>
      </w:r>
      <w:r>
        <w:rPr>
          <w:rFonts w:eastAsia="Calibri" w:cs="Calibri"/>
          <w:b/>
          <w:bCs/>
          <w:lang w:val="es-ES"/>
        </w:rPr>
        <w:t>10 de enero de 2023</w:t>
      </w:r>
    </w:p>
    <w:p>
      <w:pPr>
        <w:tabs>
          <w:tab w:val="left" w:pos="851"/>
          <w:tab w:val="right" w:pos="9072"/>
        </w:tabs>
        <w:spacing w:after="0" w:line="240" w:lineRule="auto"/>
        <w:rPr>
          <w:rFonts w:cstheme="minorHAnsi"/>
          <w:bCs/>
          <w:kern w:val="2"/>
          <w:lang w:val="es-ES"/>
        </w:rPr>
      </w:pPr>
    </w:p>
    <w:p>
      <w:pPr>
        <w:tabs>
          <w:tab w:val="left" w:pos="851"/>
          <w:tab w:val="right" w:pos="9072"/>
        </w:tabs>
        <w:spacing w:after="0" w:line="240" w:lineRule="auto"/>
        <w:rPr>
          <w:rFonts w:cstheme="minorHAnsi"/>
          <w:bCs/>
          <w:kern w:val="2"/>
          <w:lang w:val="es-ES"/>
        </w:rPr>
      </w:pPr>
      <w:r>
        <w:rPr>
          <w:rFonts w:cstheme="minorHAnsi"/>
          <w:bCs/>
          <w:kern w:val="2"/>
          <w:lang w:val="es-ES"/>
        </w:rPr>
        <w:t>Para descargar imagen para impresión de calidad 300dpi,</w:t>
      </w:r>
    </w:p>
    <w:p>
      <w:pPr>
        <w:tabs>
          <w:tab w:val="left" w:pos="851"/>
          <w:tab w:val="right" w:pos="9072"/>
        </w:tabs>
        <w:spacing w:after="0" w:line="240" w:lineRule="auto"/>
        <w:rPr>
          <w:lang w:val="es-ES"/>
        </w:rPr>
      </w:pPr>
      <w:r>
        <w:rPr>
          <w:rFonts w:cstheme="minorHAnsi"/>
          <w:bCs/>
          <w:kern w:val="2"/>
          <w:lang w:val="es-ES"/>
        </w:rPr>
        <w:t>visite</w:t>
      </w:r>
      <w:r>
        <w:rPr>
          <w:rFonts w:cstheme="minorHAnsi"/>
          <w:b/>
          <w:bCs/>
          <w:kern w:val="2"/>
          <w:lang w:val="es-ES"/>
        </w:rPr>
        <w:t xml:space="preserve"> </w:t>
      </w:r>
      <w:hyperlink r:id="rId7">
        <w:r>
          <w:rPr>
            <w:rFonts w:cstheme="minorHAnsi"/>
            <w:bCs/>
            <w:color w:val="0000FF"/>
            <w:kern w:val="2"/>
            <w:u w:val="single"/>
            <w:lang w:val="es-ES"/>
          </w:rPr>
          <w:t>parkfield.co.uk/e2s/next-generation-sil2-print.jpg</w:t>
        </w:r>
      </w:hyperlink>
    </w:p>
    <w:p>
      <w:pPr>
        <w:spacing w:after="0" w:line="240" w:lineRule="auto"/>
        <w:rPr>
          <w:rFonts w:cstheme="minorHAnsi"/>
          <w:color w:val="000000"/>
          <w:lang w:val="es-ES_tradnl"/>
        </w:rPr>
      </w:pPr>
    </w:p>
    <w:p>
      <w:pPr>
        <w:spacing w:after="0" w:line="240" w:lineRule="auto"/>
        <w:rPr>
          <w:lang w:val="es-ES"/>
        </w:rPr>
      </w:pPr>
      <w:r>
        <w:rPr>
          <w:rFonts w:cstheme="minorHAnsi"/>
          <w:color w:val="000000"/>
          <w:lang w:val="es-ES_tradnl"/>
        </w:rPr>
        <w:t xml:space="preserve">Para descargar un archivo Word del texto, vaya a </w:t>
      </w:r>
      <w:hyperlink r:id="rId8">
        <w:r>
          <w:rPr>
            <w:rFonts w:cstheme="minorHAnsi"/>
            <w:bCs/>
            <w:color w:val="0000FF"/>
            <w:kern w:val="2"/>
            <w:u w:val="single"/>
            <w:lang w:val="es-ES"/>
          </w:rPr>
          <w:t>parkfield.co.uk/e2s/next-generation-sil2-es.docx</w:t>
        </w:r>
      </w:hyperlink>
    </w:p>
    <w:p>
      <w:pPr>
        <w:widowControl w:val="0"/>
        <w:tabs>
          <w:tab w:val="left" w:pos="0"/>
          <w:tab w:val="left" w:pos="851"/>
          <w:tab w:val="right" w:pos="9064"/>
        </w:tabs>
        <w:spacing w:after="0" w:line="240" w:lineRule="auto"/>
        <w:rPr>
          <w:lang w:val="es-ES"/>
        </w:rPr>
      </w:pPr>
      <w:r>
        <w:rPr>
          <w:rFonts w:eastAsia="Calibri" w:cstheme="minorHAnsi"/>
          <w:color w:val="000000" w:themeColor="text1"/>
          <w:lang w:val="es-ES" w:eastAsia="en-GB"/>
        </w:rPr>
        <w:br/>
        <w:t xml:space="preserve">Para obtener más información visite la página: </w:t>
      </w:r>
      <w:hyperlink r:id="rId9" w:history="1">
        <w:r>
          <w:rPr>
            <w:rStyle w:val="Hyperlink"/>
            <w:rFonts w:eastAsia="Calibri" w:cstheme="minorHAnsi"/>
            <w:lang w:val="es-ES" w:eastAsia="en-GB"/>
          </w:rPr>
          <w:t>parkfield.co.uk/e2s/</w:t>
        </w:r>
      </w:hyperlink>
      <w:r>
        <w:rPr>
          <w:rFonts w:eastAsia="Calibri" w:cstheme="minorHAnsi"/>
          <w:color w:val="FF0000"/>
          <w:lang w:val="es-ES" w:eastAsia="en-GB"/>
        </w:rPr>
        <w:t xml:space="preserve">  </w:t>
      </w:r>
      <w:r>
        <w:rPr>
          <w:rFonts w:eastAsia="Calibri" w:cstheme="minorHAnsi"/>
          <w:color w:val="FF0000"/>
          <w:lang w:val="es-ES" w:eastAsia="en-GB"/>
        </w:rPr>
        <w:br/>
      </w:r>
    </w:p>
    <w:p>
      <w:pPr>
        <w:widowControl w:val="0"/>
        <w:tabs>
          <w:tab w:val="left" w:pos="851"/>
          <w:tab w:val="right" w:pos="9072"/>
        </w:tabs>
        <w:spacing w:after="0" w:line="240" w:lineRule="auto"/>
        <w:rPr>
          <w:rFonts w:ascii="Calibri" w:eastAsia="SimSun" w:hAnsi="Calibri" w:cs="Times New Roman"/>
          <w:snapToGrid w:val="0"/>
          <w:szCs w:val="20"/>
          <w:lang w:val="es-ES" w:eastAsia="zh-CN"/>
        </w:rPr>
      </w:pPr>
      <w:r>
        <w:rPr>
          <w:rFonts w:ascii="Calibri" w:eastAsia="SimSun" w:hAnsi="Calibri" w:cs="Times New Roman"/>
          <w:b/>
          <w:bCs/>
          <w:snapToGrid w:val="0"/>
          <w:szCs w:val="20"/>
          <w:lang w:val="es-ES" w:eastAsia="zh-CN"/>
        </w:rPr>
        <w:t>Señales de advertencia de próxima generación con certificación SIL</w:t>
      </w:r>
      <w:r>
        <w:rPr>
          <w:rFonts w:ascii="Calibri" w:eastAsia="SimSun" w:hAnsi="Calibri" w:cs="Times New Roman"/>
          <w:b/>
          <w:bCs/>
          <w:snapToGrid w:val="0"/>
          <w:szCs w:val="20"/>
          <w:lang w:val="es-ES" w:eastAsia="zh-CN"/>
        </w:rPr>
        <w:br/>
      </w:r>
      <w:r>
        <w:rPr>
          <w:rFonts w:ascii="Calibri" w:eastAsia="SimSun" w:hAnsi="Calibri" w:cs="Times New Roman"/>
          <w:snapToGrid w:val="0"/>
          <w:szCs w:val="20"/>
          <w:lang w:val="es-ES" w:eastAsia="zh-CN"/>
        </w:rPr>
        <w:br/>
        <w:t xml:space="preserve">E2S </w:t>
      </w:r>
      <w:proofErr w:type="spellStart"/>
      <w:r>
        <w:rPr>
          <w:rFonts w:ascii="Calibri" w:eastAsia="SimSun" w:hAnsi="Calibri" w:cs="Times New Roman"/>
          <w:snapToGrid w:val="0"/>
          <w:szCs w:val="20"/>
          <w:lang w:val="es-ES" w:eastAsia="zh-CN"/>
        </w:rPr>
        <w:t>Warning</w:t>
      </w:r>
      <w:proofErr w:type="spellEnd"/>
      <w:r>
        <w:rPr>
          <w:rFonts w:ascii="Calibri" w:eastAsia="SimSun" w:hAnsi="Calibri" w:cs="Times New Roman"/>
          <w:snapToGrid w:val="0"/>
          <w:szCs w:val="20"/>
          <w:lang w:val="es-ES" w:eastAsia="zh-CN"/>
        </w:rPr>
        <w:t xml:space="preserve"> </w:t>
      </w:r>
      <w:proofErr w:type="spellStart"/>
      <w:r>
        <w:rPr>
          <w:rFonts w:ascii="Calibri" w:eastAsia="SimSun" w:hAnsi="Calibri" w:cs="Times New Roman"/>
          <w:snapToGrid w:val="0"/>
          <w:szCs w:val="20"/>
          <w:lang w:val="es-ES" w:eastAsia="zh-CN"/>
        </w:rPr>
        <w:t>Signals</w:t>
      </w:r>
      <w:proofErr w:type="spellEnd"/>
      <w:r>
        <w:rPr>
          <w:rFonts w:ascii="Calibri" w:eastAsia="SimSun" w:hAnsi="Calibri" w:cs="Times New Roman"/>
          <w:snapToGrid w:val="0"/>
          <w:szCs w:val="20"/>
          <w:lang w:val="es-ES" w:eastAsia="zh-CN"/>
        </w:rPr>
        <w:t xml:space="preserve"> presenta sus dispositivos de advertencia de próxima generación, con certificación SIL1 y SIL2. La empresa tiene el honor de ser el fabricante independiente líder del mercado en cuanto a señales de seguridad para zonas peligrosas, industriales y navales.</w:t>
      </w:r>
    </w:p>
    <w:p>
      <w:pPr>
        <w:widowControl w:val="0"/>
        <w:tabs>
          <w:tab w:val="left" w:pos="851"/>
          <w:tab w:val="right" w:pos="9072"/>
        </w:tabs>
        <w:spacing w:after="0" w:line="240" w:lineRule="auto"/>
        <w:rPr>
          <w:rFonts w:ascii="Calibri" w:eastAsia="SimSun" w:hAnsi="Calibri" w:cs="Times New Roman"/>
          <w:snapToGrid w:val="0"/>
          <w:szCs w:val="20"/>
          <w:lang w:val="es-ES" w:eastAsia="zh-CN"/>
        </w:rPr>
      </w:pPr>
    </w:p>
    <w:p>
      <w:pPr>
        <w:widowControl w:val="0"/>
        <w:tabs>
          <w:tab w:val="left" w:pos="851"/>
          <w:tab w:val="right" w:pos="9072"/>
        </w:tabs>
        <w:spacing w:after="0" w:line="240" w:lineRule="auto"/>
        <w:rPr>
          <w:rFonts w:ascii="Calibri" w:eastAsia="SimSun" w:hAnsi="Calibri" w:cs="Times New Roman"/>
          <w:snapToGrid w:val="0"/>
          <w:szCs w:val="20"/>
          <w:lang w:val="es-ES" w:eastAsia="zh-CN"/>
        </w:rPr>
      </w:pPr>
      <w:r>
        <w:rPr>
          <w:rFonts w:ascii="Calibri" w:eastAsia="SimSun" w:hAnsi="Calibri" w:cs="Times New Roman"/>
          <w:snapToGrid w:val="0"/>
          <w:szCs w:val="20"/>
          <w:lang w:val="es-ES" w:eastAsia="zh-CN"/>
        </w:rPr>
        <w:t xml:space="preserve">Ya están disponibles, con las certificaciones SIL1 y SIL2 de fábrica, las gamas de alarmas </w:t>
      </w:r>
      <w:hyperlink r:id="rId10" w:history="1">
        <w:r>
          <w:rPr>
            <w:rFonts w:ascii="Calibri" w:eastAsia="SimSun" w:hAnsi="Calibri" w:cs="Times New Roman"/>
            <w:snapToGrid w:val="0"/>
            <w:color w:val="0000FF"/>
            <w:szCs w:val="20"/>
            <w:u w:val="single"/>
            <w:lang w:val="es-ES" w:eastAsia="zh-CN"/>
          </w:rPr>
          <w:t>D1x</w:t>
        </w:r>
      </w:hyperlink>
      <w:r>
        <w:rPr>
          <w:rFonts w:ascii="Calibri" w:eastAsia="SimSun" w:hAnsi="Calibri" w:cs="Times New Roman"/>
          <w:snapToGrid w:val="0"/>
          <w:szCs w:val="20"/>
          <w:lang w:val="es-ES" w:eastAsia="zh-CN"/>
        </w:rPr>
        <w:t xml:space="preserve">, </w:t>
      </w:r>
      <w:hyperlink r:id="rId11" w:history="1">
        <w:r>
          <w:rPr>
            <w:rFonts w:ascii="Calibri" w:eastAsia="SimSun" w:hAnsi="Calibri" w:cs="Times New Roman"/>
            <w:snapToGrid w:val="0"/>
            <w:color w:val="0000FF"/>
            <w:szCs w:val="20"/>
            <w:u w:val="single"/>
            <w:lang w:val="es-ES" w:eastAsia="zh-CN"/>
          </w:rPr>
          <w:t>GNEx</w:t>
        </w:r>
      </w:hyperlink>
      <w:r>
        <w:rPr>
          <w:rFonts w:ascii="Calibri" w:eastAsia="SimSun" w:hAnsi="Calibri" w:cs="Times New Roman"/>
          <w:snapToGrid w:val="0"/>
          <w:szCs w:val="20"/>
          <w:lang w:val="es-ES" w:eastAsia="zh-CN"/>
        </w:rPr>
        <w:t xml:space="preserve">, </w:t>
      </w:r>
      <w:hyperlink r:id="rId12" w:history="1">
        <w:r>
          <w:rPr>
            <w:rFonts w:ascii="Calibri" w:eastAsia="SimSun" w:hAnsi="Calibri" w:cs="Times New Roman"/>
            <w:snapToGrid w:val="0"/>
            <w:color w:val="0000FF"/>
            <w:szCs w:val="20"/>
            <w:u w:val="single"/>
            <w:lang w:val="es-ES" w:eastAsia="zh-CN"/>
          </w:rPr>
          <w:t>STEx</w:t>
        </w:r>
      </w:hyperlink>
      <w:r>
        <w:rPr>
          <w:rFonts w:ascii="Calibri" w:eastAsia="SimSun" w:hAnsi="Calibri" w:cs="Times New Roman"/>
          <w:snapToGrid w:val="0"/>
          <w:szCs w:val="20"/>
          <w:lang w:val="es-ES" w:eastAsia="zh-CN"/>
        </w:rPr>
        <w:t xml:space="preserve">, </w:t>
      </w:r>
      <w:hyperlink r:id="rId13" w:history="1">
        <w:r>
          <w:rPr>
            <w:rFonts w:ascii="Calibri" w:eastAsia="SimSun" w:hAnsi="Calibri" w:cs="Times New Roman"/>
            <w:snapToGrid w:val="0"/>
            <w:color w:val="0000FF"/>
            <w:szCs w:val="20"/>
            <w:u w:val="single"/>
            <w:lang w:val="es-ES" w:eastAsia="zh-CN"/>
          </w:rPr>
          <w:t>AlertAlarm</w:t>
        </w:r>
      </w:hyperlink>
      <w:r>
        <w:rPr>
          <w:rFonts w:ascii="Calibri" w:eastAsia="SimSun" w:hAnsi="Calibri" w:cs="Times New Roman"/>
          <w:snapToGrid w:val="0"/>
          <w:szCs w:val="20"/>
          <w:lang w:val="es-ES" w:eastAsia="zh-CN"/>
        </w:rPr>
        <w:t xml:space="preserve"> y </w:t>
      </w:r>
      <w:hyperlink r:id="rId14" w:history="1">
        <w:r>
          <w:rPr>
            <w:rFonts w:ascii="Calibri" w:eastAsia="SimSun" w:hAnsi="Calibri" w:cs="Times New Roman"/>
            <w:snapToGrid w:val="0"/>
            <w:color w:val="0000FF"/>
            <w:szCs w:val="20"/>
            <w:u w:val="single"/>
            <w:lang w:val="es-ES" w:eastAsia="zh-CN"/>
          </w:rPr>
          <w:t>AlertAlight</w:t>
        </w:r>
      </w:hyperlink>
      <w:r>
        <w:rPr>
          <w:rFonts w:ascii="Calibri" w:eastAsia="SimSun" w:hAnsi="Calibri" w:cs="Times New Roman"/>
          <w:snapToGrid w:val="0"/>
          <w:szCs w:val="20"/>
          <w:lang w:val="es-ES" w:eastAsia="zh-CN"/>
        </w:rPr>
        <w:t>, y los indicadores luminosos de LED y de luz estroboscópica de xenón, así como los dispositivos que combinan alarmas e indicadores luminosos. Esta gama de señales, que ha sido aprobada en todo el mundo, proporciona las notificaciones de seguridad definitivas para aplicaciones de zonas tanto peligrosas como de seguridad.</w:t>
      </w:r>
    </w:p>
    <w:p>
      <w:pPr>
        <w:widowControl w:val="0"/>
        <w:tabs>
          <w:tab w:val="left" w:pos="851"/>
          <w:tab w:val="right" w:pos="9072"/>
        </w:tabs>
        <w:spacing w:after="0" w:line="240" w:lineRule="auto"/>
        <w:rPr>
          <w:rFonts w:ascii="Calibri" w:eastAsia="SimSun" w:hAnsi="Calibri" w:cs="Times New Roman"/>
          <w:snapToGrid w:val="0"/>
          <w:szCs w:val="20"/>
          <w:lang w:val="es-ES" w:eastAsia="zh-CN"/>
        </w:rPr>
      </w:pPr>
    </w:p>
    <w:p>
      <w:pPr>
        <w:widowControl w:val="0"/>
        <w:tabs>
          <w:tab w:val="left" w:pos="851"/>
          <w:tab w:val="right" w:pos="9072"/>
        </w:tabs>
        <w:spacing w:after="0" w:line="240" w:lineRule="auto"/>
        <w:rPr>
          <w:rFonts w:ascii="Calibri" w:eastAsia="SimSun" w:hAnsi="Calibri" w:cs="Times New Roman"/>
          <w:snapToGrid w:val="0"/>
          <w:szCs w:val="20"/>
          <w:lang w:val="es-ES" w:eastAsia="zh-CN"/>
        </w:rPr>
      </w:pPr>
      <w:r>
        <w:rPr>
          <w:rFonts w:ascii="Calibri" w:eastAsia="SimSun" w:hAnsi="Calibri" w:cs="Times New Roman"/>
          <w:snapToGrid w:val="0"/>
          <w:szCs w:val="20"/>
          <w:lang w:val="es-ES" w:eastAsia="zh-CN"/>
        </w:rPr>
        <w:t xml:space="preserve">Las certificaciones SIL1 y SIL2 se han confirmado gracias a un análisis con PFD de los extensos datos disponibles sobre la fiabilidad del producto. Dicho análisis ha sido realizado por expertos externos. Se ha evaluado según la ruta 2H del estándar IEC 61508 (2010) sobre los fallos de </w:t>
      </w:r>
      <w:r>
        <w:rPr>
          <w:rFonts w:ascii="Calibri" w:eastAsia="SimSun" w:hAnsi="Calibri" w:cs="Times New Roman"/>
          <w:i/>
          <w:iCs/>
          <w:snapToGrid w:val="0"/>
          <w:szCs w:val="20"/>
          <w:lang w:val="es-ES" w:eastAsia="zh-CN"/>
        </w:rPr>
        <w:t>hardware</w:t>
      </w:r>
      <w:r>
        <w:rPr>
          <w:rFonts w:ascii="Calibri" w:eastAsia="SimSun" w:hAnsi="Calibri" w:cs="Times New Roman"/>
          <w:snapToGrid w:val="0"/>
          <w:szCs w:val="20"/>
          <w:lang w:val="es-ES" w:eastAsia="zh-CN"/>
        </w:rPr>
        <w:t xml:space="preserve"> aleatorios y sistemáticos. Como el cumplimiento con las normativas se consigue en una arquitectura 1oo1, no es necesaria la duplicación ni la redundancia de dispositivos. </w:t>
      </w:r>
    </w:p>
    <w:p>
      <w:pPr>
        <w:widowControl w:val="0"/>
        <w:tabs>
          <w:tab w:val="left" w:pos="851"/>
          <w:tab w:val="right" w:pos="9072"/>
        </w:tabs>
        <w:spacing w:after="0" w:line="240" w:lineRule="auto"/>
        <w:rPr>
          <w:rFonts w:ascii="Calibri" w:eastAsia="SimSun" w:hAnsi="Calibri" w:cs="Times New Roman"/>
          <w:snapToGrid w:val="0"/>
          <w:szCs w:val="20"/>
          <w:lang w:val="es-ES" w:eastAsia="zh-CN"/>
        </w:rPr>
      </w:pPr>
    </w:p>
    <w:p>
      <w:pPr>
        <w:widowControl w:val="0"/>
        <w:tabs>
          <w:tab w:val="left" w:pos="851"/>
          <w:tab w:val="right" w:pos="9072"/>
        </w:tabs>
        <w:spacing w:after="0" w:line="240" w:lineRule="auto"/>
        <w:rPr>
          <w:rFonts w:ascii="Calibri" w:eastAsia="SimSun" w:hAnsi="Calibri" w:cs="Times New Roman"/>
          <w:snapToGrid w:val="0"/>
          <w:szCs w:val="20"/>
          <w:lang w:val="es-ES" w:eastAsia="zh-CN"/>
        </w:rPr>
      </w:pPr>
      <w:r>
        <w:rPr>
          <w:rFonts w:ascii="Calibri" w:eastAsia="SimSun" w:hAnsi="Calibri" w:cs="Times New Roman"/>
          <w:snapToGrid w:val="0"/>
          <w:szCs w:val="20"/>
          <w:lang w:val="es-ES" w:eastAsia="zh-CN"/>
        </w:rPr>
        <w:t>Además de las certificaciones SIL1 y SIL2 de fábrica mencionadas anteriormente, el módulo de diagnóstico SIL2 exclusivo de E2S se puede precisar y así obtener una solución líder del sector para los sistemas de seguridad que necesiten señales de advertencia con diagnóstico activo y certificación SIL2 a través de la ruta 1H en una configuración 1oo1. El módulo viene de fábrica con los dispositivos electrónicos de señal que permiten que el circuito de diagnóstico evalúe la salida auditiva o visual de la alarma o del indicador luminoso. A través de la salida del relé de diagnóstico, el sistema de control recibe una advertencia si se detecta cualquier fallo en cuanto a la alimentación o al encendido. La versión del producto que incluye el módulo de diagnóstico SIL2 ya está disponible en las gamas D1x, BEx, GNEx y STEx, que son resistentes a las explosiones, cuentan con señales visuales y auditivas, y están fabricadas en aluminio de calidad naval, plástico reforzado con vidrio o acero inoxidable.</w:t>
      </w:r>
    </w:p>
    <w:p>
      <w:pPr>
        <w:widowControl w:val="0"/>
        <w:tabs>
          <w:tab w:val="left" w:pos="851"/>
          <w:tab w:val="right" w:pos="9072"/>
        </w:tabs>
        <w:spacing w:after="0" w:line="240" w:lineRule="auto"/>
        <w:rPr>
          <w:rFonts w:ascii="Calibri" w:eastAsia="SimSun" w:hAnsi="Calibri" w:cs="Times New Roman"/>
          <w:snapToGrid w:val="0"/>
          <w:szCs w:val="20"/>
          <w:lang w:val="es-ES" w:eastAsia="zh-CN"/>
        </w:rPr>
      </w:pPr>
    </w:p>
    <w:p>
      <w:pPr>
        <w:widowControl w:val="0"/>
        <w:tabs>
          <w:tab w:val="left" w:pos="851"/>
          <w:tab w:val="right" w:pos="9072"/>
        </w:tabs>
        <w:spacing w:after="0" w:line="240" w:lineRule="auto"/>
        <w:rPr>
          <w:rFonts w:ascii="Calibri" w:eastAsia="SimSun" w:hAnsi="Calibri" w:cs="Times New Roman"/>
          <w:snapToGrid w:val="0"/>
          <w:szCs w:val="20"/>
          <w:lang w:val="es-ES" w:eastAsia="zh-CN"/>
        </w:rPr>
      </w:pPr>
      <w:r>
        <w:rPr>
          <w:rFonts w:ascii="Calibri" w:eastAsia="SimSun" w:hAnsi="Calibri" w:cs="Times New Roman"/>
          <w:snapToGrid w:val="0"/>
          <w:szCs w:val="20"/>
          <w:lang w:val="es-ES" w:eastAsia="zh-CN"/>
        </w:rPr>
        <w:t>A la hora de iniciar el sistema de seguridad, las gamas de botones y pulsadores manuales con reinicio de herramienta, acción momentánea y dual de E2S, a los que se accede rompiendo un cristal, también tienen certificaciones SIL1 y SIL2 de fábrica.</w:t>
      </w:r>
    </w:p>
    <w:p>
      <w:pPr>
        <w:widowControl w:val="0"/>
        <w:tabs>
          <w:tab w:val="left" w:pos="0"/>
          <w:tab w:val="left" w:pos="851"/>
          <w:tab w:val="right" w:pos="9064"/>
        </w:tabs>
        <w:spacing w:after="0" w:line="240" w:lineRule="auto"/>
        <w:rPr>
          <w:lang w:val="es-ES"/>
        </w:rPr>
      </w:pPr>
    </w:p>
    <w:p>
      <w:pPr>
        <w:widowControl w:val="0"/>
        <w:tabs>
          <w:tab w:val="left" w:pos="851"/>
          <w:tab w:val="right" w:pos="9072"/>
        </w:tabs>
        <w:spacing w:after="0" w:line="240" w:lineRule="auto"/>
        <w:rPr>
          <w:rFonts w:ascii="Calibri" w:eastAsia="SimSun" w:hAnsi="Calibri" w:cs="Times New Roman"/>
          <w:snapToGrid w:val="0"/>
          <w:szCs w:val="20"/>
          <w:lang w:val="es-ES" w:eastAsia="zh-CN"/>
        </w:rPr>
      </w:pPr>
      <w:r>
        <w:rPr>
          <w:rFonts w:ascii="Calibri" w:eastAsia="SimSun" w:hAnsi="Calibri" w:cs="Times New Roman"/>
          <w:snapToGrid w:val="0"/>
          <w:szCs w:val="20"/>
          <w:lang w:val="es-ES" w:eastAsia="zh-CN"/>
        </w:rPr>
        <w:t>*** Fin: cuerpo del texto 3</w:t>
      </w:r>
      <w:r>
        <w:rPr>
          <w:rFonts w:ascii="Calibri" w:eastAsia="SimSun" w:hAnsi="Calibri" w:cs="Times New Roman"/>
          <w:snapToGrid w:val="0"/>
          <w:szCs w:val="20"/>
          <w:lang w:val="es-ES" w:eastAsia="zh-CN"/>
        </w:rPr>
        <w:t>92</w:t>
      </w:r>
      <w:r>
        <w:rPr>
          <w:rFonts w:ascii="Calibri" w:eastAsia="SimSun" w:hAnsi="Calibri" w:cs="Times New Roman"/>
          <w:snapToGrid w:val="0"/>
          <w:szCs w:val="20"/>
          <w:lang w:val="es-ES" w:eastAsia="zh-CN"/>
        </w:rPr>
        <w:t xml:space="preserve"> palabras ***</w:t>
      </w:r>
    </w:p>
    <w:p>
      <w:pPr>
        <w:widowControl w:val="0"/>
        <w:tabs>
          <w:tab w:val="left" w:pos="0"/>
          <w:tab w:val="left" w:pos="851"/>
          <w:tab w:val="right" w:pos="9064"/>
        </w:tabs>
        <w:spacing w:after="0" w:line="240" w:lineRule="auto"/>
        <w:rPr>
          <w:lang w:val="es-ES"/>
        </w:rPr>
      </w:pPr>
    </w:p>
    <w:p>
      <w:pPr>
        <w:spacing w:after="0" w:line="240" w:lineRule="auto"/>
        <w:rPr>
          <w:rFonts w:cs="Arial"/>
          <w:b/>
          <w:lang w:val="es-ES" w:eastAsia="en-GB"/>
        </w:rPr>
      </w:pPr>
      <w:r>
        <w:rPr>
          <w:rFonts w:cs="Arial"/>
          <w:b/>
          <w:lang w:val="es-ES" w:eastAsia="en-GB"/>
        </w:rPr>
        <w:br w:type="page"/>
      </w:r>
    </w:p>
    <w:p>
      <w:pPr>
        <w:spacing w:after="0" w:line="240" w:lineRule="auto"/>
        <w:rPr>
          <w:rFonts w:cs="Arial"/>
          <w:b/>
          <w:lang w:val="es-ES" w:eastAsia="en-GB"/>
        </w:rPr>
      </w:pPr>
      <w:r>
        <w:rPr>
          <w:rFonts w:cs="Arial"/>
          <w:b/>
          <w:lang w:val="es-ES" w:eastAsia="en-GB"/>
        </w:rPr>
        <w:lastRenderedPageBreak/>
        <w:t>Notas a los editores.</w:t>
      </w:r>
    </w:p>
    <w:p>
      <w:pPr>
        <w:spacing w:after="0" w:line="240" w:lineRule="auto"/>
        <w:rPr>
          <w:rFonts w:cs="Arial"/>
          <w:lang w:val="es-ES" w:eastAsia="en-GB"/>
        </w:rPr>
      </w:pPr>
    </w:p>
    <w:p>
      <w:pPr>
        <w:spacing w:after="0" w:line="240" w:lineRule="auto"/>
        <w:rPr>
          <w:rFonts w:cs="Arial"/>
          <w:lang w:val="es-ES" w:eastAsia="en-GB"/>
        </w:rPr>
      </w:pPr>
      <w:r>
        <w:rPr>
          <w:rFonts w:cs="Arial"/>
          <w:lang w:val="es-ES" w:eastAsia="en-GB"/>
        </w:rPr>
        <w:t>Para cualquier cuestión de seguimiento, contacte con:</w:t>
      </w:r>
      <w:r>
        <w:rPr>
          <w:rFonts w:cs="Arial"/>
          <w:lang w:val="es-ES" w:eastAsia="en-GB"/>
        </w:rPr>
        <w:tab/>
      </w:r>
    </w:p>
    <w:p>
      <w:pPr>
        <w:spacing w:after="0" w:line="240" w:lineRule="auto"/>
        <w:rPr>
          <w:rFonts w:cs="Arial"/>
          <w:lang w:val="es-ES" w:eastAsia="en-GB"/>
        </w:rPr>
      </w:pPr>
    </w:p>
    <w:p>
      <w:pPr>
        <w:spacing w:after="0" w:line="240" w:lineRule="auto"/>
        <w:rPr>
          <w:rFonts w:cs="Arial"/>
          <w:lang w:eastAsia="en-GB"/>
        </w:rPr>
      </w:pPr>
      <w:r>
        <w:rPr>
          <w:rFonts w:cs="Arial"/>
          <w:lang w:eastAsia="en-GB"/>
        </w:rPr>
        <w:t>Nigel May</w:t>
      </w:r>
      <w:r>
        <w:rPr>
          <w:rFonts w:cs="Arial"/>
          <w:lang w:eastAsia="en-GB"/>
        </w:rPr>
        <w:tab/>
      </w:r>
    </w:p>
    <w:p>
      <w:pPr>
        <w:spacing w:after="0" w:line="240" w:lineRule="auto"/>
        <w:rPr>
          <w:rFonts w:cs="Arial"/>
          <w:lang w:eastAsia="en-GB"/>
        </w:rPr>
      </w:pPr>
      <w:r>
        <w:rPr>
          <w:rFonts w:cs="Arial"/>
          <w:lang w:eastAsia="en-GB"/>
        </w:rPr>
        <w:t>Parkfield Communications Limited</w:t>
      </w:r>
    </w:p>
    <w:p>
      <w:pPr>
        <w:spacing w:after="0" w:line="240" w:lineRule="auto"/>
        <w:rPr>
          <w:rFonts w:cs="Arial"/>
          <w:lang w:val="en-US" w:eastAsia="en-GB"/>
        </w:rPr>
      </w:pPr>
      <w:r>
        <w:rPr>
          <w:rFonts w:cs="Arial"/>
          <w:lang w:val="en-US"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 xml:space="preserve">Gran </w:t>
      </w:r>
      <w:proofErr w:type="spellStart"/>
      <w:r>
        <w:rPr>
          <w:rFonts w:cs="Arial"/>
          <w:lang w:val="de-DE" w:eastAsia="en-GB"/>
        </w:rPr>
        <w:t>Bretaña</w:t>
      </w:r>
      <w:proofErr w:type="spellEnd"/>
    </w:p>
    <w:p>
      <w:pPr>
        <w:spacing w:after="0" w:line="240" w:lineRule="auto"/>
        <w:rPr>
          <w:rFonts w:cs="Arial"/>
          <w:lang w:val="de-DE" w:eastAsia="en-GB"/>
        </w:rPr>
      </w:pPr>
      <w:r>
        <w:rPr>
          <w:rFonts w:cs="Arial"/>
          <w:lang w:val="de-DE" w:eastAsia="en-GB"/>
        </w:rPr>
        <w:t>Tel: + 44 (0)1725 518321</w:t>
      </w:r>
    </w:p>
    <w:bookmarkStart w:id="0" w:name="_GoBack"/>
    <w:bookmarkEnd w:id="0"/>
    <w:p>
      <w:pPr>
        <w:spacing w:after="0" w:line="240" w:lineRule="auto"/>
        <w:rPr>
          <w:rFonts w:cs="Arial"/>
          <w:lang w:eastAsia="en-GB"/>
        </w:rPr>
      </w:pPr>
      <w:r>
        <w:fldChar w:fldCharType="begin"/>
      </w:r>
      <w:r>
        <w:instrText xml:space="preserve"> HYPERLINK "mailto:nigel.may@parkfield.co.uk" </w:instrText>
      </w:r>
      <w:r>
        <w:fldChar w:fldCharType="separate"/>
      </w:r>
      <w:r>
        <w:rPr>
          <w:rStyle w:val="Hyperlink"/>
          <w:rFonts w:cs="Arial"/>
          <w:lang w:eastAsia="en-GB"/>
        </w:rPr>
        <w:t>nigel.may@parkfield.co.uk</w:t>
      </w:r>
      <w:r>
        <w:rPr>
          <w:rStyle w:val="Hyperlink"/>
          <w:rFonts w:cs="Arial"/>
          <w:lang w:val="es-ES" w:eastAsia="en-GB"/>
        </w:rPr>
        <w:fldChar w:fldCharType="end"/>
      </w:r>
      <w:r>
        <w:rPr>
          <w:rFonts w:cs="Arial"/>
          <w:lang w:eastAsia="en-GB"/>
        </w:rPr>
        <w:t xml:space="preserve"> </w:t>
      </w:r>
    </w:p>
    <w:p>
      <w:pPr>
        <w:spacing w:after="0" w:line="240" w:lineRule="auto"/>
        <w:rPr>
          <w:rFonts w:cs="Arial"/>
          <w:lang w:eastAsia="en-GB"/>
        </w:rPr>
      </w:pPr>
      <w:hyperlink r:id="rId15" w:history="1">
        <w:r>
          <w:rPr>
            <w:rStyle w:val="Hyperlink"/>
            <w:rFonts w:cs="Arial"/>
            <w:lang w:eastAsia="en-GB"/>
          </w:rPr>
          <w:t>parkfield.co.uk</w:t>
        </w:r>
      </w:hyperlink>
      <w:r>
        <w:rPr>
          <w:rFonts w:cs="Arial"/>
          <w:lang w:eastAsia="en-GB"/>
        </w:rPr>
        <w:t xml:space="preserve"> </w:t>
      </w:r>
    </w:p>
    <w:p>
      <w:pPr>
        <w:spacing w:after="0" w:line="240" w:lineRule="auto"/>
        <w:rPr>
          <w:rFonts w:cs="Arial"/>
          <w:lang w:val="es-ES" w:eastAsia="en-GB"/>
        </w:rPr>
      </w:pPr>
      <w:r>
        <w:rPr>
          <w:rFonts w:cs="Arial"/>
          <w:lang w:val="es-ES"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pPr>
        <w:spacing w:after="0" w:line="240" w:lineRule="auto"/>
        <w:rPr>
          <w:rFonts w:cs="Arial"/>
          <w:lang w:val="es-ES" w:eastAsia="en-GB"/>
        </w:rPr>
      </w:pPr>
    </w:p>
    <w:p>
      <w:pPr>
        <w:spacing w:after="0" w:line="240" w:lineRule="auto"/>
        <w:rPr>
          <w:rFonts w:cs="Arial"/>
          <w:lang w:val="en-US" w:eastAsia="en-GB"/>
        </w:rPr>
      </w:pPr>
      <w:r>
        <w:rPr>
          <w:rFonts w:cs="Arial"/>
          <w:lang w:val="en-US" w:eastAsia="en-GB"/>
        </w:rPr>
        <w:t>E2S Warning Signals</w:t>
      </w:r>
    </w:p>
    <w:p>
      <w:pPr>
        <w:spacing w:after="0" w:line="240" w:lineRule="auto"/>
        <w:rPr>
          <w:rFonts w:cs="Arial"/>
          <w:lang w:val="en-US" w:eastAsia="en-GB"/>
        </w:rPr>
      </w:pPr>
      <w:r>
        <w:rPr>
          <w:rFonts w:cs="Arial"/>
          <w:lang w:val="en-US" w:eastAsia="en-GB"/>
        </w:rPr>
        <w:t>Impress House</w:t>
      </w:r>
    </w:p>
    <w:p>
      <w:pPr>
        <w:spacing w:after="0" w:line="240" w:lineRule="auto"/>
        <w:rPr>
          <w:rFonts w:cs="Arial"/>
          <w:lang w:val="en-US" w:eastAsia="en-GB"/>
        </w:rPr>
      </w:pPr>
      <w:r>
        <w:rPr>
          <w:rFonts w:cs="Arial"/>
          <w:lang w:val="en-US" w:eastAsia="en-GB"/>
        </w:rPr>
        <w:t>Mansell Road</w:t>
      </w:r>
    </w:p>
    <w:p>
      <w:pPr>
        <w:spacing w:after="0" w:line="240" w:lineRule="auto"/>
        <w:rPr>
          <w:rFonts w:cs="Arial"/>
          <w:lang w:val="it-IT" w:eastAsia="en-GB"/>
        </w:rPr>
      </w:pPr>
      <w:r>
        <w:rPr>
          <w:rFonts w:cs="Arial"/>
          <w:lang w:val="it-IT" w:eastAsia="en-GB"/>
        </w:rPr>
        <w:t>Londres</w:t>
      </w:r>
    </w:p>
    <w:p>
      <w:pPr>
        <w:spacing w:after="0" w:line="240" w:lineRule="auto"/>
        <w:rPr>
          <w:rFonts w:cs="Arial"/>
          <w:lang w:val="it-IT" w:eastAsia="en-GB"/>
        </w:rPr>
      </w:pPr>
      <w:r>
        <w:rPr>
          <w:rFonts w:cs="Arial"/>
          <w:lang w:val="it-IT" w:eastAsia="en-GB"/>
        </w:rPr>
        <w:t>W3 7QH</w:t>
      </w:r>
    </w:p>
    <w:p>
      <w:pPr>
        <w:spacing w:after="0" w:line="240" w:lineRule="auto"/>
        <w:rPr>
          <w:rFonts w:cs="Arial"/>
          <w:lang w:val="it-IT" w:eastAsia="en-GB"/>
        </w:rPr>
      </w:pPr>
      <w:r>
        <w:rPr>
          <w:rFonts w:cs="Arial"/>
          <w:lang w:val="it-IT" w:eastAsia="en-GB"/>
        </w:rPr>
        <w:t xml:space="preserve">Gran </w:t>
      </w:r>
      <w:proofErr w:type="spellStart"/>
      <w:r>
        <w:rPr>
          <w:rFonts w:cs="Arial"/>
          <w:lang w:val="it-IT" w:eastAsia="en-GB"/>
        </w:rPr>
        <w:t>Bretaña</w:t>
      </w:r>
      <w:proofErr w:type="spellEnd"/>
    </w:p>
    <w:p>
      <w:pPr>
        <w:spacing w:after="0" w:line="240" w:lineRule="auto"/>
        <w:rPr>
          <w:rFonts w:cs="Arial"/>
          <w:lang w:val="it-IT" w:eastAsia="en-GB"/>
        </w:rPr>
      </w:pPr>
      <w:r>
        <w:rPr>
          <w:rFonts w:cs="Arial"/>
          <w:lang w:val="it-IT" w:eastAsia="en-GB"/>
        </w:rPr>
        <w:t>Tel: + 44 (0)20 8743 8880</w:t>
      </w:r>
    </w:p>
    <w:p>
      <w:pPr>
        <w:spacing w:after="0" w:line="240" w:lineRule="auto"/>
        <w:rPr>
          <w:rFonts w:cs="Arial"/>
          <w:lang w:val="it-IT" w:eastAsia="en-GB"/>
        </w:rPr>
      </w:pPr>
      <w:r>
        <w:rPr>
          <w:rFonts w:cs="Arial"/>
          <w:lang w:val="it-IT" w:eastAsia="en-GB"/>
        </w:rPr>
        <w:t>Fax: + 44 (0)20 8740 4200</w:t>
      </w:r>
    </w:p>
    <w:p>
      <w:pPr>
        <w:spacing w:after="0" w:line="240" w:lineRule="auto"/>
        <w:rPr>
          <w:rFonts w:cs="Arial"/>
          <w:lang w:val="it-IT" w:eastAsia="en-GB"/>
        </w:rPr>
      </w:pPr>
      <w:hyperlink r:id="rId16" w:history="1">
        <w:r>
          <w:rPr>
            <w:rStyle w:val="Hyperlink"/>
            <w:rFonts w:cs="Arial"/>
            <w:lang w:val="it-IT" w:eastAsia="en-GB"/>
          </w:rPr>
          <w:t>sales@e2s.com</w:t>
        </w:r>
      </w:hyperlink>
      <w:r>
        <w:rPr>
          <w:rFonts w:cs="Arial"/>
          <w:lang w:val="it-IT" w:eastAsia="en-GB"/>
        </w:rPr>
        <w:t xml:space="preserve"> </w:t>
      </w:r>
    </w:p>
    <w:p>
      <w:pPr>
        <w:tabs>
          <w:tab w:val="left" w:pos="851"/>
          <w:tab w:val="right" w:pos="9072"/>
        </w:tabs>
        <w:spacing w:after="0" w:line="240" w:lineRule="auto"/>
        <w:rPr>
          <w:lang w:val="it-IT"/>
        </w:rPr>
      </w:pPr>
      <w:hyperlink r:id="rId17" w:history="1">
        <w:r>
          <w:rPr>
            <w:rStyle w:val="Hyperlink"/>
            <w:rFonts w:cs="Arial"/>
            <w:lang w:val="it-IT" w:eastAsia="en-GB"/>
          </w:rPr>
          <w:t>e2s.com</w:t>
        </w:r>
      </w:hyperlink>
    </w:p>
    <w:p>
      <w:pPr>
        <w:spacing w:after="0" w:line="240" w:lineRule="auto"/>
        <w:rPr>
          <w:rFonts w:ascii="Calibri" w:eastAsia="Calibri" w:hAnsi="Calibri"/>
          <w:b/>
          <w:lang w:val="it-IT"/>
        </w:rPr>
      </w:pPr>
    </w:p>
    <w:p>
      <w:pPr>
        <w:tabs>
          <w:tab w:val="left" w:pos="851"/>
          <w:tab w:val="right" w:pos="9072"/>
        </w:tabs>
        <w:rPr>
          <w:lang w:val="it-IT"/>
        </w:rPr>
      </w:pPr>
    </w:p>
    <w:p>
      <w:pPr>
        <w:tabs>
          <w:tab w:val="left" w:pos="851"/>
          <w:tab w:val="right" w:pos="9072"/>
        </w:tabs>
        <w:rPr>
          <w:lang w:val="it-IT"/>
        </w:rPr>
      </w:pPr>
    </w:p>
    <w:p>
      <w:pPr>
        <w:widowControl w:val="0"/>
        <w:tabs>
          <w:tab w:val="left" w:pos="0"/>
          <w:tab w:val="left" w:pos="851"/>
          <w:tab w:val="right" w:pos="9064"/>
        </w:tabs>
        <w:spacing w:after="0" w:line="240" w:lineRule="auto"/>
        <w:rPr>
          <w:lang w:val="es-ES"/>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WPHyperlink">
    <w:name w:val="WP_Hyperlink"/>
    <w:basedOn w:val="DefaultParagraphFont"/>
    <w:qFormat/>
    <w:rPr>
      <w:color w:val="0000FF"/>
      <w:u w:val="single"/>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rkfield.co.uk/e2s/next-generation-sil2-es.docx" TargetMode="External"/><Relationship Id="rId13" Type="http://schemas.openxmlformats.org/officeDocument/2006/relationships/hyperlink" Target="https://www.e2s.com/products/fire-and-industrial/family/rn0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kfield.co.uk/e2s/next-generation-sil2-print.jpg"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http://www.e2s.com" TargetMode="External"/><Relationship Id="rId2" Type="http://schemas.openxmlformats.org/officeDocument/2006/relationships/styles" Target="styles.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2s.com/products/hazardous-area-signalling/family/rn030" TargetMode="External"/><Relationship Id="rId5" Type="http://schemas.openxmlformats.org/officeDocument/2006/relationships/footnotes" Target="footnotes.xml"/><Relationship Id="rId15" Type="http://schemas.openxmlformats.org/officeDocument/2006/relationships/hyperlink" Target="http://www.parkfield.co.uk" TargetMode="External"/><Relationship Id="rId10" Type="http://schemas.openxmlformats.org/officeDocument/2006/relationships/hyperlink" Target="https://www.e2s.com/products/hazardous-area-signalling/family/rn0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s/fire-and-industrial/family/rn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2BFC-EE7D-4CBB-B122-1AB19646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2023-01-10T12:51:00Z</dcterms:created>
  <dcterms:modified xsi:type="dcterms:W3CDTF">2023-01-10T12:57:00Z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