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FCE7F" w14:textId="77777777" w:rsidR="00D22F0B" w:rsidRDefault="009D2227" w:rsidP="00DC2D80">
      <w:pPr>
        <w:rPr>
          <w:rFonts w:ascii="Arial" w:hAnsi="Arial" w:cs="Arial"/>
          <w:color w:val="C00000"/>
          <w:sz w:val="52"/>
          <w:szCs w:val="52"/>
          <w:lang w:val="es-ES" w:eastAsia="en-GB"/>
        </w:rPr>
      </w:pPr>
      <w:r>
        <w:br/>
      </w:r>
      <w:r w:rsidR="00D22F0B" w:rsidRPr="008D3EC0">
        <w:rPr>
          <w:rFonts w:ascii="Arial" w:hAnsi="Arial" w:cs="Arial"/>
          <w:noProof/>
          <w:color w:val="C00000"/>
          <w:sz w:val="52"/>
          <w:szCs w:val="52"/>
        </w:rPr>
        <w:drawing>
          <wp:anchor distT="0" distB="0" distL="114300" distR="114300" simplePos="0" relativeHeight="251659264" behindDoc="0" locked="0" layoutInCell="1" allowOverlap="1" wp14:anchorId="56189759" wp14:editId="08731D02">
            <wp:simplePos x="0" y="0"/>
            <wp:positionH relativeFrom="page">
              <wp:posOffset>5057775</wp:posOffset>
            </wp:positionH>
            <wp:positionV relativeFrom="page">
              <wp:posOffset>914400</wp:posOffset>
            </wp:positionV>
            <wp:extent cx="1598295" cy="809625"/>
            <wp:effectExtent l="19050" t="0" r="190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8295" cy="809625"/>
                    </a:xfrm>
                    <a:prstGeom prst="rect">
                      <a:avLst/>
                    </a:prstGeom>
                    <a:noFill/>
                    <a:ln>
                      <a:noFill/>
                    </a:ln>
                  </pic:spPr>
                </pic:pic>
              </a:graphicData>
            </a:graphic>
          </wp:anchor>
        </w:drawing>
      </w:r>
    </w:p>
    <w:p w14:paraId="1771AF36" w14:textId="77777777" w:rsidR="00D22F0B" w:rsidRDefault="00D22F0B" w:rsidP="00DC2D80">
      <w:pPr>
        <w:rPr>
          <w:rFonts w:ascii="Arial" w:hAnsi="Arial" w:cs="Arial"/>
          <w:color w:val="C00000"/>
          <w:sz w:val="52"/>
          <w:szCs w:val="52"/>
          <w:lang w:val="es-ES" w:eastAsia="en-GB"/>
        </w:rPr>
      </w:pPr>
    </w:p>
    <w:p w14:paraId="7F5B729F" w14:textId="77777777" w:rsidR="00D22F0B" w:rsidRPr="001052D4" w:rsidRDefault="00D22F0B" w:rsidP="00DC2D80">
      <w:pPr>
        <w:rPr>
          <w:rFonts w:cs="Arial"/>
          <w:color w:val="C00000"/>
          <w:sz w:val="52"/>
          <w:szCs w:val="52"/>
        </w:rPr>
      </w:pPr>
      <w:r w:rsidRPr="001052D4">
        <w:rPr>
          <w:rFonts w:cs="Arial"/>
          <w:color w:val="C00000"/>
          <w:sz w:val="52"/>
          <w:szCs w:val="52"/>
          <w:lang w:eastAsia="en-GB"/>
        </w:rPr>
        <w:t>Informações para a Imprensa</w:t>
      </w:r>
    </w:p>
    <w:p w14:paraId="27B01749" w14:textId="77777777" w:rsidR="00D22F0B" w:rsidRDefault="00D22F0B" w:rsidP="00DC2D80">
      <w:pPr>
        <w:rPr>
          <w:rFonts w:cs="Calibri"/>
          <w:color w:val="000000" w:themeColor="text1"/>
          <w:lang w:eastAsia="en-GB"/>
        </w:rPr>
      </w:pPr>
      <w:r w:rsidRPr="001052D4">
        <w:rPr>
          <w:rFonts w:cs="Calibri"/>
          <w:color w:val="000000" w:themeColor="text1"/>
          <w:lang w:eastAsia="en-GB"/>
        </w:rPr>
        <w:t xml:space="preserve">Para baixar imagem de qualidade para impressão 300 </w:t>
      </w:r>
      <w:proofErr w:type="spellStart"/>
      <w:r w:rsidRPr="001052D4">
        <w:rPr>
          <w:rFonts w:cs="Calibri"/>
          <w:color w:val="000000" w:themeColor="text1"/>
          <w:lang w:eastAsia="en-GB"/>
        </w:rPr>
        <w:t>dpi</w:t>
      </w:r>
      <w:proofErr w:type="spellEnd"/>
      <w:r w:rsidRPr="001052D4">
        <w:rPr>
          <w:rFonts w:cs="Calibri"/>
          <w:color w:val="000000" w:themeColor="text1"/>
          <w:lang w:eastAsia="en-GB"/>
        </w:rPr>
        <w:t>,</w:t>
      </w:r>
    </w:p>
    <w:p w14:paraId="72492CF4" w14:textId="69FA801E" w:rsidR="00D22F0B" w:rsidRPr="001052D4" w:rsidRDefault="00D22F0B" w:rsidP="00DC2D80">
      <w:pPr>
        <w:rPr>
          <w:rFonts w:cs="Calibri"/>
          <w:color w:val="000000" w:themeColor="text1"/>
          <w:lang w:eastAsia="en-GB"/>
        </w:rPr>
      </w:pPr>
      <w:r w:rsidRPr="001052D4">
        <w:rPr>
          <w:rFonts w:cs="Calibri"/>
          <w:color w:val="000000" w:themeColor="text1"/>
          <w:lang w:eastAsia="en-GB"/>
        </w:rPr>
        <w:t xml:space="preserve">vá para </w:t>
      </w:r>
      <w:hyperlink r:id="rId7" w:history="1">
        <w:r>
          <w:rPr>
            <w:rStyle w:val="Hyperlink"/>
            <w:rFonts w:cs="Calibri"/>
            <w:lang w:eastAsia="en-GB"/>
          </w:rPr>
          <w:t>parkfield.co.uk/e2s/nfpa19-print.jpg</w:t>
        </w:r>
      </w:hyperlink>
      <w:r w:rsidRPr="001052D4">
        <w:rPr>
          <w:rFonts w:cs="Calibri"/>
          <w:color w:val="000000" w:themeColor="text1"/>
          <w:lang w:eastAsia="en-GB"/>
        </w:rPr>
        <w:t xml:space="preserve"> </w:t>
      </w:r>
      <w:r w:rsidRPr="001052D4">
        <w:rPr>
          <w:rFonts w:cs="Calibri"/>
          <w:color w:val="000000" w:themeColor="text1"/>
          <w:lang w:eastAsia="en-GB"/>
        </w:rPr>
        <w:br/>
        <w:t xml:space="preserve">Para baixar o texto em arquivo Word, vá para </w:t>
      </w:r>
      <w:hyperlink r:id="rId8" w:history="1">
        <w:r>
          <w:rPr>
            <w:rStyle w:val="Hyperlink"/>
            <w:rFonts w:cs="Calibri"/>
            <w:lang w:eastAsia="en-GB"/>
          </w:rPr>
          <w:t>parkfield.co.uk/e2s/nfpa19-br.docx</w:t>
        </w:r>
      </w:hyperlink>
    </w:p>
    <w:p w14:paraId="7C4E7BC2" w14:textId="62FF156B" w:rsidR="00D22F0B" w:rsidRPr="001052D4" w:rsidRDefault="00D22F0B" w:rsidP="00DC2D80">
      <w:pPr>
        <w:rPr>
          <w:color w:val="000000" w:themeColor="text1"/>
        </w:rPr>
      </w:pPr>
      <w:r w:rsidRPr="001052D4">
        <w:rPr>
          <w:rFonts w:cs="Calibri"/>
          <w:color w:val="000000" w:themeColor="text1"/>
          <w:lang w:eastAsia="en-GB"/>
        </w:rPr>
        <w:t xml:space="preserve">Para ver todas as informações, acesse </w:t>
      </w:r>
      <w:hyperlink r:id="rId9" w:history="1">
        <w:bookmarkStart w:id="0" w:name="_GoBack"/>
        <w:bookmarkEnd w:id="0"/>
        <w:r>
          <w:rPr>
            <w:rStyle w:val="Hyperlink"/>
          </w:rPr>
          <w:t>parkfield.co.uk/e2s/</w:t>
        </w:r>
      </w:hyperlink>
    </w:p>
    <w:p w14:paraId="6097E658" w14:textId="77777777" w:rsidR="00D22F0B" w:rsidRDefault="00D22F0B" w:rsidP="00A37743">
      <w:pPr>
        <w:tabs>
          <w:tab w:val="left" w:pos="851"/>
          <w:tab w:val="center" w:pos="4535"/>
          <w:tab w:val="left" w:pos="6742"/>
          <w:tab w:val="right" w:pos="9072"/>
        </w:tabs>
        <w:rPr>
          <w:b/>
        </w:rPr>
      </w:pPr>
    </w:p>
    <w:p w14:paraId="51B384E6" w14:textId="71D3ACC5" w:rsidR="00861BFA" w:rsidRPr="00595365" w:rsidRDefault="009D2227" w:rsidP="00A37743">
      <w:pPr>
        <w:tabs>
          <w:tab w:val="left" w:pos="851"/>
          <w:tab w:val="center" w:pos="4535"/>
          <w:tab w:val="left" w:pos="6742"/>
          <w:tab w:val="right" w:pos="9072"/>
        </w:tabs>
        <w:rPr>
          <w:b/>
        </w:rPr>
      </w:pPr>
      <w:r>
        <w:rPr>
          <w:b/>
        </w:rPr>
        <w:t>Lançamento de sinalização de alerta SIL 2 à prova de explosões D1xB2 na NFPA 2019</w:t>
      </w:r>
    </w:p>
    <w:p w14:paraId="2DE0EC89" w14:textId="3EB923EC" w:rsidR="00595365" w:rsidRPr="00D22F0B" w:rsidRDefault="00F079C2" w:rsidP="00595365">
      <w:pPr>
        <w:rPr>
          <w:rFonts w:ascii="Calibri" w:eastAsia="Calibri" w:hAnsi="Calibri" w:cs="Times New Roman"/>
          <w:b/>
        </w:rPr>
      </w:pPr>
      <w:r>
        <w:rPr>
          <w:rFonts w:ascii="Calibri" w:hAnsi="Calibri"/>
          <w:b/>
        </w:rPr>
        <w:br/>
      </w:r>
      <w:r w:rsidR="00372B3E">
        <w:rPr>
          <w:rFonts w:ascii="Calibri" w:hAnsi="Calibri"/>
        </w:rPr>
        <w:t xml:space="preserve">A mais recente adição à </w:t>
      </w:r>
      <w:hyperlink r:id="rId10" w:history="1">
        <w:r w:rsidR="00372B3E">
          <w:rPr>
            <w:rStyle w:val="Hyperlink"/>
            <w:rFonts w:ascii="Calibri" w:hAnsi="Calibri"/>
          </w:rPr>
          <w:t>linha D1x</w:t>
        </w:r>
      </w:hyperlink>
      <w:r w:rsidR="00372B3E">
        <w:rPr>
          <w:rFonts w:ascii="Calibri" w:hAnsi="Calibri"/>
        </w:rPr>
        <w:t xml:space="preserve"> da E2S Warning Signals são os sinalizadores D1xB2, que oferecem aprovações globais com conformidade SIL 1 e SIL 2. As fontes de luz estão disponíveis como Xênon ou LED. Os estroboscópios de Xenôn são oferecidos em variantes de 5, 10, 15 ou 21 Joules com quatro opções de taxa de flash e são aprovados para uso em alarmes de incêndio em modo privado para UL1638. A matriz de LEDs de alta potência apresenta um modo estável para aplicativos de status, cinco padrões de flash e três estágios/canais de alarme remotamente selecionáveis. Aprovado pelas normas UL/cUL e ULC para uso em ambientes à prova de explosão de Classe I/II Divisão 1, Zona 1 e Zona 21, com certificação pelas normas IECEx e ATEX para aplicações da Zona 1 e 21 – uma solução verdadeiramente global. Os filtros das lentes de policarbonato estáveis com filtro UV, equipados com uma proteção de aço inoxidável, são disponibilizados nos tons âmbar, azul, transparente, verde, magenta, vermelho e amarelo.</w:t>
      </w:r>
      <w:r w:rsidR="00372B3E">
        <w:t xml:space="preserve"> </w:t>
      </w:r>
      <w:r w:rsidR="00372B3E">
        <w:rPr>
          <w:rFonts w:ascii="Calibri" w:hAnsi="Calibri"/>
        </w:rPr>
        <w:t xml:space="preserve">O design da lente aprimora a saída de luz e é substituível em campo, permitindo que os sinalizadores sejam reutilizados no local. A irrupção e a corrente operacional baixas possibilitam que mais unidades sejam instaladas por circuito, simplificando o projeto do sistema e reduzindo o custo. Todos os sinalizadores do mesmo circuito são automaticamente sincronizados. </w:t>
      </w:r>
    </w:p>
    <w:p w14:paraId="0E09AC91" w14:textId="77777777" w:rsidR="00B754A8" w:rsidRDefault="00B754A8" w:rsidP="00A43587">
      <w:pPr>
        <w:tabs>
          <w:tab w:val="left" w:pos="851"/>
          <w:tab w:val="right" w:pos="9072"/>
        </w:tabs>
      </w:pPr>
    </w:p>
    <w:p w14:paraId="3FF255BE" w14:textId="0F70A535" w:rsidR="000D3795" w:rsidRDefault="00373034" w:rsidP="000D3795">
      <w:pPr>
        <w:tabs>
          <w:tab w:val="left" w:pos="851"/>
          <w:tab w:val="right" w:pos="9072"/>
        </w:tabs>
      </w:pPr>
      <w:r>
        <w:rPr>
          <w:rFonts w:ascii="Calibri" w:hAnsi="Calibri"/>
        </w:rPr>
        <w:t>Para instalações que requerem sinais em conformidade com a norma UL1971 para configuração do alarme de incêndio em modo público, como dispositivos de sinalização de emergência para deficientes auditivos, os modelos D1xB2XH1 e D1xB2XH2 fornecem a solução mais inteligente e de sincronização automática disponível.</w:t>
      </w:r>
      <w:r>
        <w:t xml:space="preserve"> </w:t>
      </w:r>
    </w:p>
    <w:p w14:paraId="7FFD32FF" w14:textId="77777777" w:rsidR="008D0D31" w:rsidRPr="0081096E" w:rsidRDefault="008D0D31" w:rsidP="000D3795">
      <w:pPr>
        <w:tabs>
          <w:tab w:val="left" w:pos="851"/>
          <w:tab w:val="right" w:pos="9072"/>
        </w:tabs>
        <w:rPr>
          <w:rFonts w:ascii="Calibri" w:eastAsia="Calibri" w:hAnsi="Calibri" w:cs="Times New Roman"/>
          <w:color w:val="0000FF" w:themeColor="hyperlink"/>
          <w:u w:val="single"/>
        </w:rPr>
      </w:pPr>
    </w:p>
    <w:p w14:paraId="63152A40" w14:textId="0280B7F1" w:rsidR="00B754A8" w:rsidRPr="00A12673" w:rsidRDefault="008977E3" w:rsidP="00B754A8">
      <w:pPr>
        <w:rPr>
          <w:rFonts w:ascii="Calibri" w:eastAsia="Calibri" w:hAnsi="Calibri" w:cs="Times New Roman"/>
        </w:rPr>
      </w:pPr>
      <w:r>
        <w:t xml:space="preserve">Todas as variantes são compostas por um invólucro inovador com várias entradas de cabo: entradas laterais de 2 x 3/4” NPT e 2 x M20, além de uma entrada pendente de 1 x 3/4" NPT. Um percurso de chamas rosqueado permite instalação rápida e simplifica a inspeção de manutenção, enquanto a ampla área de terminação maximiza o espaço de cabeamento. </w:t>
      </w:r>
      <w:r>
        <w:rPr>
          <w:rFonts w:ascii="Calibri" w:hAnsi="Calibri"/>
        </w:rPr>
        <w:t xml:space="preserve">O invólucro de alumínio leve, de grau matinho e resistente à corrosão pode ser montado em um canal ou superfície, utilizando os terminais de montagem embutidos. Um suporte de montagem de aço inoxidável opcional está disponível, oferecendo posicionamento totalmente ajustável em qualquer direção para uma eficácia otimizada. </w:t>
      </w:r>
    </w:p>
    <w:p w14:paraId="319797E9" w14:textId="77777777" w:rsidR="00A43587" w:rsidRDefault="00A43587" w:rsidP="00A43587">
      <w:pPr>
        <w:tabs>
          <w:tab w:val="left" w:pos="851"/>
          <w:tab w:val="right" w:pos="9072"/>
        </w:tabs>
        <w:rPr>
          <w:rFonts w:ascii="Calibri" w:eastAsia="Calibri" w:hAnsi="Calibri" w:cs="Times New Roman"/>
        </w:rPr>
      </w:pPr>
    </w:p>
    <w:p w14:paraId="0333BF92" w14:textId="257574A8" w:rsidR="00A43587" w:rsidRDefault="00A43587" w:rsidP="00A43587">
      <w:pPr>
        <w:tabs>
          <w:tab w:val="left" w:pos="851"/>
          <w:tab w:val="right" w:pos="9072"/>
        </w:tabs>
      </w:pPr>
      <w:r>
        <w:rPr>
          <w:rFonts w:ascii="Calibri" w:hAnsi="Calibri"/>
        </w:rPr>
        <w:t>Além dos sinalizadores independentes, a linha D1x inclui unidades combinadas que fornecem saídas de som de até 116 dB (A) com 64 tons de alarme selecionáveis pelo usuário e quatro estágios/canais remotamente selecionáveis para suportar a sinalização audível de múltiplos cenários a partir de um único dispositivo. O sinalizador de xênon integrado pode ser conectado internamente ao alarme para minimizar os requisitos de cabeamento e o tempo de instalação, e o alarme e o estroboscópio podem ser iniciados de forma simultânea ou independente.</w:t>
      </w:r>
      <w:r>
        <w:t xml:space="preserve"> </w:t>
      </w:r>
    </w:p>
    <w:p w14:paraId="260919DD" w14:textId="4631FC0A" w:rsidR="005143D3" w:rsidRDefault="005143D3" w:rsidP="00A43587">
      <w:pPr>
        <w:tabs>
          <w:tab w:val="left" w:pos="851"/>
          <w:tab w:val="right" w:pos="9072"/>
        </w:tabs>
      </w:pPr>
    </w:p>
    <w:p w14:paraId="069EF3C9" w14:textId="3CA8D121" w:rsidR="005143D3" w:rsidRDefault="005143D3" w:rsidP="00A43587">
      <w:pPr>
        <w:tabs>
          <w:tab w:val="left" w:pos="851"/>
          <w:tab w:val="right" w:pos="9072"/>
        </w:tabs>
      </w:pPr>
      <w:r>
        <w:rPr>
          <w:rFonts w:ascii="Calibri" w:hAnsi="Calibri"/>
        </w:rPr>
        <w:lastRenderedPageBreak/>
        <w:t>A E2S Warning Signals exibirá, no estande 1445, os novos produtos D1xB2 na NFPA C&amp;E em San Antonio (17 a 19 de junho de 2019).</w:t>
      </w:r>
    </w:p>
    <w:p w14:paraId="46D05982" w14:textId="7A474539" w:rsidR="00676E27" w:rsidRDefault="00676E27" w:rsidP="00F7339A"/>
    <w:p w14:paraId="2116D261" w14:textId="77777777" w:rsidR="00621374" w:rsidRPr="00F079C2" w:rsidRDefault="00621374" w:rsidP="00621374">
      <w:pPr>
        <w:tabs>
          <w:tab w:val="left" w:pos="851"/>
          <w:tab w:val="right" w:pos="9072"/>
        </w:tabs>
      </w:pPr>
      <w:r w:rsidRPr="00F079C2">
        <w:t xml:space="preserve">*** Ends: body copy </w:t>
      </w:r>
      <w:r>
        <w:t>394 words ***</w:t>
      </w:r>
    </w:p>
    <w:p w14:paraId="1B378835" w14:textId="190B45B9" w:rsidR="00F079C2" w:rsidRDefault="00F079C2" w:rsidP="00F7339A"/>
    <w:p w14:paraId="3F9D6E95" w14:textId="5A4C8342" w:rsidR="00D22F0B" w:rsidRPr="00612626" w:rsidRDefault="00D22F0B" w:rsidP="00E11969">
      <w:pPr>
        <w:rPr>
          <w:rFonts w:cs="Arial"/>
          <w:b/>
        </w:rPr>
      </w:pPr>
      <w:r w:rsidRPr="00E11969">
        <w:rPr>
          <w:rFonts w:cs="Arial"/>
          <w:b/>
          <w:bCs/>
        </w:rPr>
        <w:t>Notas para os editores</w:t>
      </w:r>
      <w:r>
        <w:rPr>
          <w:rFonts w:cs="Arial"/>
          <w:b/>
          <w:bCs/>
        </w:rPr>
        <w:br/>
      </w:r>
      <w:r>
        <w:rPr>
          <w:rFonts w:ascii="Calibri" w:hAnsi="Calibri"/>
          <w:b/>
        </w:rPr>
        <w:t>Emitido em 08 de maio de 2019</w:t>
      </w:r>
    </w:p>
    <w:p w14:paraId="15A81F53" w14:textId="77777777" w:rsidR="00D22F0B" w:rsidRPr="00E11969" w:rsidRDefault="00D22F0B" w:rsidP="00E11969">
      <w:pPr>
        <w:rPr>
          <w:rFonts w:cs="Arial"/>
        </w:rPr>
      </w:pPr>
    </w:p>
    <w:p w14:paraId="6DC67AC8" w14:textId="77777777" w:rsidR="00D22F0B" w:rsidRPr="00612626" w:rsidRDefault="00D22F0B" w:rsidP="00E11969">
      <w:pPr>
        <w:rPr>
          <w:rFonts w:cs="Arial"/>
        </w:rPr>
      </w:pPr>
      <w:r w:rsidRPr="00E11969">
        <w:rPr>
          <w:rFonts w:cs="Arial"/>
        </w:rPr>
        <w:t>Para consultas, fale com:</w:t>
      </w:r>
      <w:r w:rsidRPr="00E11969">
        <w:rPr>
          <w:rFonts w:cs="Arial"/>
        </w:rPr>
        <w:tab/>
      </w:r>
    </w:p>
    <w:p w14:paraId="72613D5E" w14:textId="77777777" w:rsidR="00D22F0B" w:rsidRPr="00D22F0B" w:rsidRDefault="00D22F0B" w:rsidP="00E11969">
      <w:pPr>
        <w:rPr>
          <w:rFonts w:cs="Arial"/>
          <w:lang w:val="en-GB"/>
        </w:rPr>
      </w:pPr>
      <w:r w:rsidRPr="00D22F0B">
        <w:rPr>
          <w:rFonts w:cs="Arial"/>
          <w:lang w:val="en-GB"/>
        </w:rPr>
        <w:t>Nigel May</w:t>
      </w:r>
      <w:r w:rsidRPr="00D22F0B">
        <w:rPr>
          <w:rFonts w:cs="Arial"/>
          <w:lang w:val="en-GB"/>
        </w:rPr>
        <w:tab/>
      </w:r>
    </w:p>
    <w:p w14:paraId="177C42F3" w14:textId="77777777" w:rsidR="00D22F0B" w:rsidRPr="00D22F0B" w:rsidRDefault="00D22F0B" w:rsidP="00E11969">
      <w:pPr>
        <w:rPr>
          <w:rFonts w:cs="Arial"/>
          <w:lang w:val="en-GB"/>
        </w:rPr>
      </w:pPr>
      <w:r w:rsidRPr="00D22F0B">
        <w:rPr>
          <w:rFonts w:cs="Arial"/>
          <w:lang w:val="en-GB"/>
        </w:rPr>
        <w:t>Parkfield Communications Limited</w:t>
      </w:r>
    </w:p>
    <w:p w14:paraId="15212B3D" w14:textId="77777777" w:rsidR="00D22F0B" w:rsidRPr="00D22F0B" w:rsidRDefault="00D22F0B" w:rsidP="00E11969">
      <w:pPr>
        <w:rPr>
          <w:rFonts w:cs="Arial"/>
          <w:lang w:val="en-GB"/>
        </w:rPr>
      </w:pPr>
      <w:r w:rsidRPr="00D22F0B">
        <w:rPr>
          <w:rFonts w:cs="Arial"/>
          <w:lang w:val="en-GB"/>
        </w:rPr>
        <w:t>Parkfield House</w:t>
      </w:r>
    </w:p>
    <w:p w14:paraId="34847729" w14:textId="77777777" w:rsidR="00D22F0B" w:rsidRPr="00E11969" w:rsidRDefault="00D22F0B" w:rsidP="00E11969">
      <w:pPr>
        <w:rPr>
          <w:rFonts w:cs="Arial"/>
        </w:rPr>
      </w:pPr>
      <w:r w:rsidRPr="00E11969">
        <w:rPr>
          <w:rFonts w:cs="Arial"/>
        </w:rPr>
        <w:t>Damerham</w:t>
      </w:r>
    </w:p>
    <w:p w14:paraId="58DC3BFB" w14:textId="77777777" w:rsidR="00D22F0B" w:rsidRPr="00612626" w:rsidRDefault="00D22F0B" w:rsidP="00E11969">
      <w:pPr>
        <w:rPr>
          <w:rFonts w:cs="Arial"/>
        </w:rPr>
      </w:pPr>
      <w:r w:rsidRPr="00E11969">
        <w:rPr>
          <w:rFonts w:cs="Arial"/>
        </w:rPr>
        <w:t>SP6 3HQ</w:t>
      </w:r>
    </w:p>
    <w:p w14:paraId="13F5EF18" w14:textId="77777777" w:rsidR="00D22F0B" w:rsidRPr="00612626" w:rsidRDefault="00D22F0B" w:rsidP="00E11969">
      <w:pPr>
        <w:rPr>
          <w:rFonts w:cs="Arial"/>
        </w:rPr>
      </w:pPr>
      <w:r w:rsidRPr="00E11969">
        <w:rPr>
          <w:rFonts w:cs="Arial"/>
        </w:rPr>
        <w:t>Grã-Bretanha</w:t>
      </w:r>
    </w:p>
    <w:p w14:paraId="5CE21634" w14:textId="77777777" w:rsidR="00D22F0B" w:rsidRPr="00612626" w:rsidRDefault="00D22F0B" w:rsidP="00E11969">
      <w:pPr>
        <w:rPr>
          <w:rFonts w:cs="Arial"/>
        </w:rPr>
      </w:pPr>
      <w:r w:rsidRPr="00E11969">
        <w:rPr>
          <w:rFonts w:cs="Arial"/>
        </w:rPr>
        <w:t>Tel: + 44 (0)1725 518321</w:t>
      </w:r>
    </w:p>
    <w:p w14:paraId="687AA25A" w14:textId="77777777" w:rsidR="00D22F0B" w:rsidRPr="00612626" w:rsidRDefault="00D22F0B" w:rsidP="00E11969">
      <w:pPr>
        <w:rPr>
          <w:rFonts w:cs="Arial"/>
          <w:lang w:val="fr-FR"/>
        </w:rPr>
      </w:pPr>
      <w:r w:rsidRPr="00612626">
        <w:rPr>
          <w:rFonts w:cs="Arial"/>
          <w:lang w:val="fr-FR"/>
        </w:rPr>
        <w:t>Fax: + 44 (0)1725 518378</w:t>
      </w:r>
    </w:p>
    <w:p w14:paraId="43B35241" w14:textId="77777777" w:rsidR="00D22F0B" w:rsidRPr="00612626" w:rsidRDefault="00D22F0B" w:rsidP="00E11969">
      <w:pPr>
        <w:rPr>
          <w:rFonts w:cs="Arial"/>
          <w:lang w:val="fr-FR"/>
        </w:rPr>
      </w:pPr>
      <w:hyperlink r:id="rId11" w:history="1">
        <w:r w:rsidRPr="005D1879">
          <w:rPr>
            <w:rStyle w:val="Hyperlink"/>
            <w:rFonts w:cs="Arial"/>
            <w:lang w:val="fr-FR"/>
          </w:rPr>
          <w:t>nigel.may@parkfield.co.uk</w:t>
        </w:r>
      </w:hyperlink>
      <w:r>
        <w:rPr>
          <w:rFonts w:cs="Arial"/>
          <w:lang w:val="fr-FR"/>
        </w:rPr>
        <w:t xml:space="preserve"> </w:t>
      </w:r>
    </w:p>
    <w:p w14:paraId="51674F3E" w14:textId="77777777" w:rsidR="00D22F0B" w:rsidRPr="008D7A32" w:rsidRDefault="00D22F0B" w:rsidP="00E11969">
      <w:pPr>
        <w:rPr>
          <w:rFonts w:cs="Arial"/>
        </w:rPr>
      </w:pPr>
      <w:hyperlink r:id="rId12" w:history="1">
        <w:r w:rsidRPr="008D7A32">
          <w:rPr>
            <w:rStyle w:val="Hyperlink"/>
            <w:rFonts w:cs="Arial"/>
          </w:rPr>
          <w:t>parkfield.co.uk</w:t>
        </w:r>
      </w:hyperlink>
      <w:r w:rsidRPr="008D7A32">
        <w:rPr>
          <w:rFonts w:cs="Arial"/>
        </w:rPr>
        <w:t xml:space="preserve"> </w:t>
      </w:r>
    </w:p>
    <w:p w14:paraId="0357F03E" w14:textId="77777777" w:rsidR="00D22F0B" w:rsidRPr="00612626" w:rsidRDefault="00D22F0B" w:rsidP="00E11969">
      <w:pPr>
        <w:rPr>
          <w:rFonts w:cs="Arial"/>
        </w:rPr>
      </w:pPr>
      <w:r w:rsidRPr="00D05FF6">
        <w:rPr>
          <w:rFonts w:cs="Arial"/>
        </w:rPr>
        <w:br/>
      </w:r>
      <w:r w:rsidRPr="00E11969">
        <w:rPr>
          <w:rFonts w:cs="Arial"/>
        </w:rPr>
        <w:t xml:space="preserve">A E2S é líder mundial na fabricação independente de sinalização. </w:t>
      </w:r>
      <w:r w:rsidRPr="00612626">
        <w:rPr>
          <w:rFonts w:cs="Arial"/>
        </w:rPr>
        <w:t>Com sede na região Oeste de Londres, Inglaterra, a empresa projeta e fabrica uma ampla variedade de produtos de sinalização para ambientes industriais e marítimos e áreas perigosas</w:t>
      </w:r>
      <w:r w:rsidRPr="00E11969">
        <w:rPr>
          <w:rFonts w:cs="Arial"/>
        </w:rPr>
        <w:t xml:space="preserve">. Os produtos da E2S Produtos podem ser entregues em todo o mundo através de sua rede de distribuição. Detalhes dos distribuidores podem ser encontrados no site da empresa. Além disso, a E2S tem um centro de distribuição dedicado exclusivo em Houston, Texas, para distribuição local de produtos e atendimento técnico. </w:t>
      </w:r>
    </w:p>
    <w:p w14:paraId="5FA83185" w14:textId="77777777" w:rsidR="00D22F0B" w:rsidRPr="00E11969" w:rsidRDefault="00D22F0B" w:rsidP="00E11969">
      <w:pPr>
        <w:rPr>
          <w:rFonts w:cs="Arial"/>
        </w:rPr>
      </w:pPr>
    </w:p>
    <w:p w14:paraId="5280A198" w14:textId="77777777" w:rsidR="00D22F0B" w:rsidRPr="008D7A32" w:rsidRDefault="00D22F0B" w:rsidP="008D7A32">
      <w:pPr>
        <w:widowControl w:val="0"/>
        <w:rPr>
          <w:rFonts w:eastAsia="Times New Roman" w:cstheme="minorHAnsi"/>
          <w:snapToGrid w:val="0"/>
          <w:lang w:val="en-US"/>
        </w:rPr>
      </w:pPr>
      <w:r w:rsidRPr="008D7A32">
        <w:rPr>
          <w:rFonts w:eastAsia="Times New Roman" w:cstheme="minorHAnsi"/>
          <w:snapToGrid w:val="0"/>
          <w:lang w:val="en-US"/>
        </w:rPr>
        <w:t>E2S Warning Signals</w:t>
      </w:r>
    </w:p>
    <w:p w14:paraId="2BC41BBD" w14:textId="77777777" w:rsidR="00D22F0B" w:rsidRPr="008D7A32" w:rsidRDefault="00D22F0B" w:rsidP="008D7A32">
      <w:pPr>
        <w:widowControl w:val="0"/>
        <w:rPr>
          <w:rFonts w:eastAsia="Times New Roman" w:cstheme="minorHAnsi"/>
          <w:snapToGrid w:val="0"/>
          <w:lang w:val="en-US"/>
        </w:rPr>
      </w:pPr>
      <w:r w:rsidRPr="008D7A32">
        <w:rPr>
          <w:rFonts w:eastAsia="Times New Roman" w:cstheme="minorHAnsi"/>
          <w:snapToGrid w:val="0"/>
          <w:lang w:val="en-US"/>
        </w:rPr>
        <w:t>17633 Telge Road</w:t>
      </w:r>
    </w:p>
    <w:p w14:paraId="1D68DB22" w14:textId="77777777" w:rsidR="00D22F0B" w:rsidRPr="008D7A32" w:rsidRDefault="00D22F0B" w:rsidP="008D7A32">
      <w:pPr>
        <w:widowControl w:val="0"/>
        <w:rPr>
          <w:rFonts w:eastAsia="Times New Roman" w:cstheme="minorHAnsi"/>
          <w:snapToGrid w:val="0"/>
          <w:lang w:val="en-US"/>
        </w:rPr>
      </w:pPr>
      <w:r w:rsidRPr="008D7A32">
        <w:rPr>
          <w:rFonts w:eastAsia="Times New Roman" w:cstheme="minorHAnsi"/>
          <w:snapToGrid w:val="0"/>
          <w:lang w:val="en-US"/>
        </w:rPr>
        <w:t>Cypress, Houston</w:t>
      </w:r>
    </w:p>
    <w:p w14:paraId="5AAB670A" w14:textId="77777777" w:rsidR="00D22F0B" w:rsidRPr="00D22F0B" w:rsidRDefault="00D22F0B" w:rsidP="008D7A32">
      <w:pPr>
        <w:widowControl w:val="0"/>
        <w:rPr>
          <w:rFonts w:eastAsia="Times New Roman" w:cstheme="minorHAnsi"/>
          <w:snapToGrid w:val="0"/>
        </w:rPr>
      </w:pPr>
      <w:r w:rsidRPr="00D22F0B">
        <w:rPr>
          <w:rFonts w:eastAsia="Times New Roman" w:cstheme="minorHAnsi"/>
          <w:snapToGrid w:val="0"/>
        </w:rPr>
        <w:t>TX 77086</w:t>
      </w:r>
    </w:p>
    <w:p w14:paraId="7C9CD39B" w14:textId="77777777" w:rsidR="00D22F0B" w:rsidRPr="00D22F0B" w:rsidRDefault="00D22F0B" w:rsidP="008D7A32">
      <w:pPr>
        <w:widowControl w:val="0"/>
        <w:rPr>
          <w:rFonts w:eastAsia="Times New Roman" w:cstheme="minorHAnsi"/>
          <w:snapToGrid w:val="0"/>
        </w:rPr>
      </w:pPr>
      <w:r w:rsidRPr="007818F4">
        <w:rPr>
          <w:rFonts w:eastAsia="Times New Roman" w:cstheme="minorHAnsi"/>
          <w:snapToGrid w:val="0"/>
        </w:rPr>
        <w:t xml:space="preserve">Estados Unidos da </w:t>
      </w:r>
      <w:proofErr w:type="spellStart"/>
      <w:r w:rsidRPr="007818F4">
        <w:rPr>
          <w:rFonts w:eastAsia="Times New Roman" w:cstheme="minorHAnsi"/>
          <w:snapToGrid w:val="0"/>
        </w:rPr>
        <w:t>America</w:t>
      </w:r>
      <w:proofErr w:type="spellEnd"/>
    </w:p>
    <w:p w14:paraId="276ECD82" w14:textId="77777777" w:rsidR="00D22F0B" w:rsidRPr="00D22F0B" w:rsidRDefault="00D22F0B" w:rsidP="008D7A32">
      <w:pPr>
        <w:widowControl w:val="0"/>
        <w:rPr>
          <w:rFonts w:eastAsia="Times New Roman" w:cstheme="minorHAnsi"/>
          <w:snapToGrid w:val="0"/>
        </w:rPr>
      </w:pPr>
      <w:proofErr w:type="spellStart"/>
      <w:r w:rsidRPr="00D22F0B">
        <w:rPr>
          <w:rFonts w:eastAsia="Times New Roman" w:cstheme="minorHAnsi"/>
          <w:snapToGrid w:val="0"/>
        </w:rPr>
        <w:t>Tel</w:t>
      </w:r>
      <w:proofErr w:type="spellEnd"/>
      <w:r w:rsidRPr="00D22F0B">
        <w:rPr>
          <w:rFonts w:eastAsia="Times New Roman" w:cstheme="minorHAnsi"/>
          <w:snapToGrid w:val="0"/>
        </w:rPr>
        <w:t>: + 1 281-377-4401</w:t>
      </w:r>
    </w:p>
    <w:p w14:paraId="60CEB2CA" w14:textId="77777777" w:rsidR="00D22F0B" w:rsidRPr="00D22F0B" w:rsidRDefault="00D22F0B" w:rsidP="008D7A32">
      <w:pPr>
        <w:widowControl w:val="0"/>
        <w:rPr>
          <w:rFonts w:eastAsia="Times New Roman" w:cstheme="minorHAnsi"/>
          <w:snapToGrid w:val="0"/>
        </w:rPr>
      </w:pPr>
      <w:r w:rsidRPr="00D22F0B">
        <w:rPr>
          <w:rFonts w:eastAsia="Times New Roman" w:cstheme="minorHAnsi"/>
          <w:snapToGrid w:val="0"/>
        </w:rPr>
        <w:t>Fax: + 1 281-440-4040</w:t>
      </w:r>
    </w:p>
    <w:p w14:paraId="74ADE2EB" w14:textId="77777777" w:rsidR="00D22F0B" w:rsidRPr="00D22F0B" w:rsidRDefault="00D22F0B" w:rsidP="008D7A32">
      <w:pPr>
        <w:widowControl w:val="0"/>
        <w:rPr>
          <w:rFonts w:eastAsia="Times New Roman" w:cstheme="minorHAnsi"/>
          <w:snapToGrid w:val="0"/>
        </w:rPr>
      </w:pPr>
      <w:r w:rsidRPr="00D22F0B">
        <w:rPr>
          <w:rFonts w:eastAsia="Times New Roman" w:cstheme="minorHAnsi"/>
          <w:snapToGrid w:val="0"/>
        </w:rPr>
        <w:t xml:space="preserve">Mail: </w:t>
      </w:r>
      <w:hyperlink r:id="rId13" w:history="1">
        <w:r w:rsidRPr="00D22F0B">
          <w:rPr>
            <w:rFonts w:eastAsia="Times New Roman" w:cstheme="minorHAnsi"/>
            <w:snapToGrid w:val="0"/>
            <w:color w:val="0000FF"/>
            <w:u w:val="single"/>
          </w:rPr>
          <w:t>sales@e2s.com</w:t>
        </w:r>
      </w:hyperlink>
      <w:r w:rsidRPr="00D22F0B">
        <w:rPr>
          <w:rFonts w:eastAsia="Times New Roman" w:cstheme="minorHAnsi"/>
          <w:snapToGrid w:val="0"/>
        </w:rPr>
        <w:t xml:space="preserve"> </w:t>
      </w:r>
    </w:p>
    <w:p w14:paraId="4DE75505" w14:textId="77777777" w:rsidR="00D22F0B" w:rsidRPr="00D22F0B" w:rsidRDefault="00D22F0B" w:rsidP="008D7A32">
      <w:pPr>
        <w:widowControl w:val="0"/>
        <w:rPr>
          <w:rFonts w:eastAsia="Times New Roman" w:cstheme="minorHAnsi"/>
          <w:snapToGrid w:val="0"/>
          <w:lang w:val="en-GB"/>
        </w:rPr>
      </w:pPr>
      <w:r w:rsidRPr="00D22F0B">
        <w:rPr>
          <w:rFonts w:eastAsia="Times New Roman" w:cstheme="minorHAnsi"/>
          <w:snapToGrid w:val="0"/>
          <w:lang w:val="en-GB"/>
        </w:rPr>
        <w:t xml:space="preserve">Web: </w:t>
      </w:r>
      <w:hyperlink r:id="rId14" w:history="1">
        <w:r w:rsidRPr="00D22F0B">
          <w:rPr>
            <w:rFonts w:eastAsia="Times New Roman" w:cstheme="minorHAnsi"/>
            <w:snapToGrid w:val="0"/>
            <w:color w:val="0000FF"/>
            <w:u w:val="single"/>
            <w:lang w:val="en-GB"/>
          </w:rPr>
          <w:t>www.e2s.com</w:t>
        </w:r>
      </w:hyperlink>
      <w:r w:rsidRPr="00D22F0B">
        <w:rPr>
          <w:rFonts w:eastAsia="Times New Roman" w:cstheme="minorHAnsi"/>
          <w:snapToGrid w:val="0"/>
          <w:lang w:val="en-GB"/>
        </w:rPr>
        <w:t xml:space="preserve"> </w:t>
      </w:r>
    </w:p>
    <w:p w14:paraId="3EB58033" w14:textId="77777777" w:rsidR="00D22F0B" w:rsidRPr="00D22F0B" w:rsidRDefault="00D22F0B" w:rsidP="00E11969">
      <w:pPr>
        <w:rPr>
          <w:rFonts w:cs="Arial"/>
          <w:lang w:val="en-GB"/>
        </w:rPr>
      </w:pPr>
    </w:p>
    <w:p w14:paraId="54040722" w14:textId="77777777" w:rsidR="00D22F0B" w:rsidRPr="00D22F0B" w:rsidRDefault="00D22F0B" w:rsidP="00E11969">
      <w:pPr>
        <w:rPr>
          <w:rFonts w:cs="Arial"/>
          <w:lang w:val="en-GB"/>
        </w:rPr>
      </w:pPr>
    </w:p>
    <w:p w14:paraId="39927EB1" w14:textId="77777777" w:rsidR="00D22F0B" w:rsidRPr="00D22F0B" w:rsidRDefault="00D22F0B" w:rsidP="00E11969">
      <w:pPr>
        <w:rPr>
          <w:rFonts w:cs="Arial"/>
          <w:lang w:val="en-GB"/>
        </w:rPr>
      </w:pPr>
      <w:r w:rsidRPr="00D22F0B">
        <w:rPr>
          <w:rFonts w:cs="Arial"/>
          <w:lang w:val="en-GB"/>
        </w:rPr>
        <w:t>E2S Warning Signals</w:t>
      </w:r>
    </w:p>
    <w:p w14:paraId="44130FE3" w14:textId="77777777" w:rsidR="00D22F0B" w:rsidRPr="00D22F0B" w:rsidRDefault="00D22F0B" w:rsidP="00E11969">
      <w:pPr>
        <w:rPr>
          <w:rFonts w:cs="Arial"/>
          <w:lang w:val="en-GB"/>
        </w:rPr>
      </w:pPr>
      <w:r w:rsidRPr="00D22F0B">
        <w:rPr>
          <w:rFonts w:cs="Arial"/>
          <w:lang w:val="en-GB"/>
        </w:rPr>
        <w:t>Impress House</w:t>
      </w:r>
    </w:p>
    <w:p w14:paraId="2A554B29" w14:textId="77777777" w:rsidR="00D22F0B" w:rsidRPr="00D22F0B" w:rsidRDefault="00D22F0B" w:rsidP="00E11969">
      <w:pPr>
        <w:rPr>
          <w:rFonts w:cs="Arial"/>
          <w:lang w:val="en-GB"/>
        </w:rPr>
      </w:pPr>
      <w:r w:rsidRPr="00D22F0B">
        <w:rPr>
          <w:rFonts w:cs="Arial"/>
          <w:lang w:val="en-GB"/>
        </w:rPr>
        <w:t>Mansell Road</w:t>
      </w:r>
    </w:p>
    <w:p w14:paraId="2531399D" w14:textId="77777777" w:rsidR="00D22F0B" w:rsidRPr="00D22F0B" w:rsidRDefault="00D22F0B" w:rsidP="00E11969">
      <w:pPr>
        <w:rPr>
          <w:rFonts w:cs="Arial"/>
          <w:lang w:val="en-GB"/>
        </w:rPr>
      </w:pPr>
      <w:proofErr w:type="spellStart"/>
      <w:r w:rsidRPr="00D22F0B">
        <w:rPr>
          <w:rFonts w:cs="Arial"/>
          <w:lang w:val="en-GB"/>
        </w:rPr>
        <w:t>Londres</w:t>
      </w:r>
      <w:proofErr w:type="spellEnd"/>
    </w:p>
    <w:p w14:paraId="6C7C0E14" w14:textId="77777777" w:rsidR="00D22F0B" w:rsidRPr="00D22F0B" w:rsidRDefault="00D22F0B" w:rsidP="00E11969">
      <w:pPr>
        <w:rPr>
          <w:rFonts w:cs="Arial"/>
          <w:lang w:val="en-GB"/>
        </w:rPr>
      </w:pPr>
      <w:r w:rsidRPr="00D22F0B">
        <w:rPr>
          <w:rFonts w:cs="Arial"/>
          <w:lang w:val="en-GB"/>
        </w:rPr>
        <w:t>W3 7QH</w:t>
      </w:r>
    </w:p>
    <w:p w14:paraId="6E35117F" w14:textId="77777777" w:rsidR="00D22F0B" w:rsidRPr="00612626" w:rsidRDefault="00D22F0B" w:rsidP="00E11969">
      <w:pPr>
        <w:rPr>
          <w:rFonts w:cs="Arial"/>
        </w:rPr>
      </w:pPr>
      <w:r w:rsidRPr="00E11969">
        <w:rPr>
          <w:rFonts w:cs="Arial"/>
        </w:rPr>
        <w:t>Grã-Bretanha</w:t>
      </w:r>
    </w:p>
    <w:p w14:paraId="04ED1546" w14:textId="77777777" w:rsidR="00D22F0B" w:rsidRPr="00612626" w:rsidRDefault="00D22F0B" w:rsidP="00E11969">
      <w:pPr>
        <w:rPr>
          <w:rFonts w:cs="Arial"/>
        </w:rPr>
      </w:pPr>
      <w:r w:rsidRPr="00E11969">
        <w:rPr>
          <w:rFonts w:cs="Arial"/>
        </w:rPr>
        <w:t>Tel: + 44 (0)20 8743 8880</w:t>
      </w:r>
    </w:p>
    <w:p w14:paraId="1655D3B5" w14:textId="77777777" w:rsidR="00D22F0B" w:rsidRPr="008D7A32" w:rsidRDefault="00D22F0B" w:rsidP="00E11969">
      <w:pPr>
        <w:rPr>
          <w:rFonts w:cs="Arial"/>
        </w:rPr>
      </w:pPr>
      <w:r w:rsidRPr="008D7A32">
        <w:rPr>
          <w:rFonts w:cs="Arial"/>
        </w:rPr>
        <w:t>Fax: + 44 (0)20 8740 4200</w:t>
      </w:r>
    </w:p>
    <w:p w14:paraId="75A77FD9" w14:textId="77777777" w:rsidR="00D22F0B" w:rsidRPr="008D7A32" w:rsidRDefault="00D22F0B" w:rsidP="00E11969">
      <w:pPr>
        <w:rPr>
          <w:rFonts w:cs="Arial"/>
        </w:rPr>
      </w:pPr>
      <w:hyperlink r:id="rId15" w:history="1">
        <w:r w:rsidRPr="008D7A32">
          <w:rPr>
            <w:rStyle w:val="Hyperlink"/>
            <w:rFonts w:cs="Arial"/>
          </w:rPr>
          <w:t>sales@e2s.com</w:t>
        </w:r>
      </w:hyperlink>
      <w:r w:rsidRPr="008D7A32">
        <w:rPr>
          <w:rFonts w:cs="Arial"/>
        </w:rPr>
        <w:t xml:space="preserve"> </w:t>
      </w:r>
    </w:p>
    <w:p w14:paraId="35E09168" w14:textId="77777777" w:rsidR="00D22F0B" w:rsidRPr="00612626" w:rsidRDefault="00D22F0B" w:rsidP="00E11969">
      <w:pPr>
        <w:tabs>
          <w:tab w:val="left" w:pos="851"/>
          <w:tab w:val="right" w:pos="9072"/>
        </w:tabs>
        <w:rPr>
          <w:lang w:val="fr-FR"/>
        </w:rPr>
      </w:pPr>
      <w:hyperlink r:id="rId16" w:history="1">
        <w:r w:rsidRPr="00612626">
          <w:rPr>
            <w:rStyle w:val="Hyperlink"/>
            <w:rFonts w:cs="Arial"/>
            <w:lang w:val="fr-FR"/>
          </w:rPr>
          <w:t>e2s.com</w:t>
        </w:r>
      </w:hyperlink>
    </w:p>
    <w:p w14:paraId="03371A14" w14:textId="77777777" w:rsidR="00D22F0B" w:rsidRPr="00E11969" w:rsidRDefault="00D22F0B" w:rsidP="003C07FD">
      <w:pPr>
        <w:tabs>
          <w:tab w:val="left" w:pos="851"/>
          <w:tab w:val="right" w:pos="9072"/>
        </w:tabs>
        <w:rPr>
          <w:lang w:val="fr-FR"/>
        </w:rPr>
      </w:pPr>
    </w:p>
    <w:p w14:paraId="607E8014" w14:textId="77777777" w:rsidR="00D22F0B" w:rsidRPr="00595365" w:rsidRDefault="00D22F0B" w:rsidP="00F7339A"/>
    <w:sectPr w:rsidR="00D22F0B" w:rsidRPr="00595365" w:rsidSect="0023036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CD965" w14:textId="77777777" w:rsidR="00B4368D" w:rsidRDefault="00B4368D" w:rsidP="005E4276">
      <w:r>
        <w:separator/>
      </w:r>
    </w:p>
  </w:endnote>
  <w:endnote w:type="continuationSeparator" w:id="0">
    <w:p w14:paraId="68070D66" w14:textId="77777777" w:rsidR="00B4368D" w:rsidRDefault="00B4368D" w:rsidP="005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46612" w14:textId="77777777" w:rsidR="00B4368D" w:rsidRDefault="00B4368D" w:rsidP="005E4276">
      <w:r>
        <w:separator/>
      </w:r>
    </w:p>
  </w:footnote>
  <w:footnote w:type="continuationSeparator" w:id="0">
    <w:p w14:paraId="111182E2" w14:textId="77777777" w:rsidR="00B4368D" w:rsidRDefault="00B4368D" w:rsidP="005E4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27"/>
    <w:rsid w:val="00010883"/>
    <w:rsid w:val="00021C83"/>
    <w:rsid w:val="00041BBE"/>
    <w:rsid w:val="000756ED"/>
    <w:rsid w:val="000D12F3"/>
    <w:rsid w:val="000D3795"/>
    <w:rsid w:val="000D3B6C"/>
    <w:rsid w:val="000F5AF6"/>
    <w:rsid w:val="0010194D"/>
    <w:rsid w:val="00121EA6"/>
    <w:rsid w:val="00127A24"/>
    <w:rsid w:val="00131C2C"/>
    <w:rsid w:val="00176850"/>
    <w:rsid w:val="001F0DEB"/>
    <w:rsid w:val="001F2F18"/>
    <w:rsid w:val="00230369"/>
    <w:rsid w:val="0025366C"/>
    <w:rsid w:val="00282957"/>
    <w:rsid w:val="002B6A40"/>
    <w:rsid w:val="003117D9"/>
    <w:rsid w:val="0035534F"/>
    <w:rsid w:val="00372B3E"/>
    <w:rsid w:val="00373034"/>
    <w:rsid w:val="003B4041"/>
    <w:rsid w:val="00431BB0"/>
    <w:rsid w:val="00431C48"/>
    <w:rsid w:val="00436E2F"/>
    <w:rsid w:val="00466100"/>
    <w:rsid w:val="004A5DBE"/>
    <w:rsid w:val="004D2437"/>
    <w:rsid w:val="004E2153"/>
    <w:rsid w:val="005077ED"/>
    <w:rsid w:val="005143D3"/>
    <w:rsid w:val="0052612B"/>
    <w:rsid w:val="00556B57"/>
    <w:rsid w:val="005702D0"/>
    <w:rsid w:val="00582892"/>
    <w:rsid w:val="00584C51"/>
    <w:rsid w:val="00595365"/>
    <w:rsid w:val="005B335D"/>
    <w:rsid w:val="005C6D22"/>
    <w:rsid w:val="005C73C1"/>
    <w:rsid w:val="005E4276"/>
    <w:rsid w:val="00621374"/>
    <w:rsid w:val="00624843"/>
    <w:rsid w:val="00676E27"/>
    <w:rsid w:val="00693A34"/>
    <w:rsid w:val="00693DFE"/>
    <w:rsid w:val="006A394F"/>
    <w:rsid w:val="006E165B"/>
    <w:rsid w:val="00700872"/>
    <w:rsid w:val="007104A1"/>
    <w:rsid w:val="00717F1A"/>
    <w:rsid w:val="007320F7"/>
    <w:rsid w:val="00735D1E"/>
    <w:rsid w:val="0075387C"/>
    <w:rsid w:val="0077242B"/>
    <w:rsid w:val="00783EAE"/>
    <w:rsid w:val="007842D7"/>
    <w:rsid w:val="00793FAC"/>
    <w:rsid w:val="007B4132"/>
    <w:rsid w:val="007B62F0"/>
    <w:rsid w:val="007F3B21"/>
    <w:rsid w:val="008068B5"/>
    <w:rsid w:val="0081096E"/>
    <w:rsid w:val="00845388"/>
    <w:rsid w:val="00861BFA"/>
    <w:rsid w:val="008977E3"/>
    <w:rsid w:val="008C5813"/>
    <w:rsid w:val="008D0D31"/>
    <w:rsid w:val="008E34D4"/>
    <w:rsid w:val="00950125"/>
    <w:rsid w:val="009D004F"/>
    <w:rsid w:val="009D2227"/>
    <w:rsid w:val="00A12673"/>
    <w:rsid w:val="00A37743"/>
    <w:rsid w:val="00A43587"/>
    <w:rsid w:val="00A91561"/>
    <w:rsid w:val="00B02ECC"/>
    <w:rsid w:val="00B07A16"/>
    <w:rsid w:val="00B4368D"/>
    <w:rsid w:val="00B754A8"/>
    <w:rsid w:val="00B80494"/>
    <w:rsid w:val="00B908BB"/>
    <w:rsid w:val="00B96047"/>
    <w:rsid w:val="00BA09CA"/>
    <w:rsid w:val="00BB0D30"/>
    <w:rsid w:val="00BC1A95"/>
    <w:rsid w:val="00BE3BBD"/>
    <w:rsid w:val="00C12798"/>
    <w:rsid w:val="00C3389E"/>
    <w:rsid w:val="00C35473"/>
    <w:rsid w:val="00C44623"/>
    <w:rsid w:val="00C448BF"/>
    <w:rsid w:val="00C833F0"/>
    <w:rsid w:val="00C925A9"/>
    <w:rsid w:val="00C92F8D"/>
    <w:rsid w:val="00CA1DD7"/>
    <w:rsid w:val="00CC0199"/>
    <w:rsid w:val="00CE7CBB"/>
    <w:rsid w:val="00D22F0B"/>
    <w:rsid w:val="00D24D68"/>
    <w:rsid w:val="00D57A62"/>
    <w:rsid w:val="00D753BC"/>
    <w:rsid w:val="00DA4910"/>
    <w:rsid w:val="00E17362"/>
    <w:rsid w:val="00E329DE"/>
    <w:rsid w:val="00E3611D"/>
    <w:rsid w:val="00EF2C22"/>
    <w:rsid w:val="00F079C2"/>
    <w:rsid w:val="00F42D96"/>
    <w:rsid w:val="00F71938"/>
    <w:rsid w:val="00F7339A"/>
    <w:rsid w:val="00FA2FAB"/>
    <w:rsid w:val="00FB659C"/>
    <w:rsid w:val="00FF7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DEF6"/>
  <w15:docId w15:val="{FEA7C3F5-2D6B-48FD-8BCF-2A97B753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34F"/>
    <w:rPr>
      <w:color w:val="0000FF" w:themeColor="hyperlink"/>
      <w:u w:val="single"/>
    </w:rPr>
  </w:style>
  <w:style w:type="paragraph" w:styleId="Header">
    <w:name w:val="header"/>
    <w:basedOn w:val="Normal"/>
    <w:link w:val="HeaderChar"/>
    <w:uiPriority w:val="99"/>
    <w:unhideWhenUsed/>
    <w:rsid w:val="005E4276"/>
    <w:pPr>
      <w:tabs>
        <w:tab w:val="center" w:pos="4513"/>
        <w:tab w:val="right" w:pos="9026"/>
      </w:tabs>
    </w:pPr>
  </w:style>
  <w:style w:type="character" w:customStyle="1" w:styleId="HeaderChar">
    <w:name w:val="Header Char"/>
    <w:basedOn w:val="DefaultParagraphFont"/>
    <w:link w:val="Header"/>
    <w:uiPriority w:val="99"/>
    <w:rsid w:val="005E4276"/>
  </w:style>
  <w:style w:type="paragraph" w:styleId="Footer">
    <w:name w:val="footer"/>
    <w:basedOn w:val="Normal"/>
    <w:link w:val="FooterChar"/>
    <w:uiPriority w:val="99"/>
    <w:unhideWhenUsed/>
    <w:rsid w:val="005E4276"/>
    <w:pPr>
      <w:tabs>
        <w:tab w:val="center" w:pos="4513"/>
        <w:tab w:val="right" w:pos="9026"/>
      </w:tabs>
    </w:pPr>
  </w:style>
  <w:style w:type="character" w:customStyle="1" w:styleId="FooterChar">
    <w:name w:val="Footer Char"/>
    <w:basedOn w:val="DefaultParagraphFont"/>
    <w:link w:val="Footer"/>
    <w:uiPriority w:val="99"/>
    <w:rsid w:val="005E4276"/>
  </w:style>
  <w:style w:type="character" w:customStyle="1" w:styleId="UnresolvedMention1">
    <w:name w:val="Unresolved Mention1"/>
    <w:basedOn w:val="DefaultParagraphFont"/>
    <w:uiPriority w:val="99"/>
    <w:semiHidden/>
    <w:unhideWhenUsed/>
    <w:rsid w:val="00B754A8"/>
    <w:rPr>
      <w:color w:val="605E5C"/>
      <w:shd w:val="clear" w:color="auto" w:fill="E1DFDD"/>
    </w:rPr>
  </w:style>
  <w:style w:type="character" w:styleId="CommentReference">
    <w:name w:val="annotation reference"/>
    <w:basedOn w:val="DefaultParagraphFont"/>
    <w:uiPriority w:val="99"/>
    <w:semiHidden/>
    <w:unhideWhenUsed/>
    <w:rsid w:val="007B62F0"/>
    <w:rPr>
      <w:sz w:val="16"/>
      <w:szCs w:val="16"/>
    </w:rPr>
  </w:style>
  <w:style w:type="paragraph" w:styleId="CommentText">
    <w:name w:val="annotation text"/>
    <w:basedOn w:val="Normal"/>
    <w:link w:val="CommentTextChar"/>
    <w:uiPriority w:val="99"/>
    <w:semiHidden/>
    <w:unhideWhenUsed/>
    <w:rsid w:val="007B62F0"/>
    <w:rPr>
      <w:sz w:val="20"/>
      <w:szCs w:val="20"/>
    </w:rPr>
  </w:style>
  <w:style w:type="character" w:customStyle="1" w:styleId="CommentTextChar">
    <w:name w:val="Comment Text Char"/>
    <w:basedOn w:val="DefaultParagraphFont"/>
    <w:link w:val="CommentText"/>
    <w:uiPriority w:val="99"/>
    <w:semiHidden/>
    <w:rsid w:val="007B62F0"/>
    <w:rPr>
      <w:sz w:val="20"/>
      <w:szCs w:val="20"/>
    </w:rPr>
  </w:style>
  <w:style w:type="paragraph" w:styleId="CommentSubject">
    <w:name w:val="annotation subject"/>
    <w:basedOn w:val="CommentText"/>
    <w:next w:val="CommentText"/>
    <w:link w:val="CommentSubjectChar"/>
    <w:uiPriority w:val="99"/>
    <w:semiHidden/>
    <w:unhideWhenUsed/>
    <w:rsid w:val="007B62F0"/>
    <w:rPr>
      <w:b/>
      <w:bCs/>
    </w:rPr>
  </w:style>
  <w:style w:type="character" w:customStyle="1" w:styleId="CommentSubjectChar">
    <w:name w:val="Comment Subject Char"/>
    <w:basedOn w:val="CommentTextChar"/>
    <w:link w:val="CommentSubject"/>
    <w:uiPriority w:val="99"/>
    <w:semiHidden/>
    <w:rsid w:val="007B62F0"/>
    <w:rPr>
      <w:b/>
      <w:bCs/>
      <w:sz w:val="20"/>
      <w:szCs w:val="20"/>
    </w:rPr>
  </w:style>
  <w:style w:type="paragraph" w:styleId="BalloonText">
    <w:name w:val="Balloon Text"/>
    <w:basedOn w:val="Normal"/>
    <w:link w:val="BalloonTextChar"/>
    <w:uiPriority w:val="99"/>
    <w:semiHidden/>
    <w:unhideWhenUsed/>
    <w:rsid w:val="007B62F0"/>
    <w:rPr>
      <w:rFonts w:ascii="Tahoma" w:hAnsi="Tahoma" w:cs="Tahoma"/>
      <w:sz w:val="16"/>
      <w:szCs w:val="16"/>
    </w:rPr>
  </w:style>
  <w:style w:type="character" w:customStyle="1" w:styleId="BalloonTextChar">
    <w:name w:val="Balloon Text Char"/>
    <w:basedOn w:val="DefaultParagraphFont"/>
    <w:link w:val="BalloonText"/>
    <w:uiPriority w:val="99"/>
    <w:semiHidden/>
    <w:rsid w:val="007B6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99571">
      <w:bodyDiv w:val="1"/>
      <w:marLeft w:val="0"/>
      <w:marRight w:val="0"/>
      <w:marTop w:val="0"/>
      <w:marBottom w:val="0"/>
      <w:divBdr>
        <w:top w:val="none" w:sz="0" w:space="0" w:color="auto"/>
        <w:left w:val="none" w:sz="0" w:space="0" w:color="auto"/>
        <w:bottom w:val="none" w:sz="0" w:space="0" w:color="auto"/>
        <w:right w:val="none" w:sz="0" w:space="0" w:color="auto"/>
      </w:divBdr>
    </w:div>
    <w:div w:id="8709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nfpa19-br.docx" TargetMode="External"/><Relationship Id="rId13" Type="http://schemas.openxmlformats.org/officeDocument/2006/relationships/hyperlink" Target="mailto:sales@e2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e2s/nfpa19-print.jpg" TargetMode="External"/><Relationship Id="rId12" Type="http://schemas.openxmlformats.org/officeDocument/2006/relationships/hyperlink" Target="http://www.parkfield.co.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2s.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nigel.may@parkfield.co.uk" TargetMode="External"/><Relationship Id="rId5" Type="http://schemas.openxmlformats.org/officeDocument/2006/relationships/endnotes" Target="endnotes.xml"/><Relationship Id="rId15" Type="http://schemas.openxmlformats.org/officeDocument/2006/relationships/hyperlink" Target="mailto:sales@e2s.com" TargetMode="External"/><Relationship Id="rId10" Type="http://schemas.openxmlformats.org/officeDocument/2006/relationships/hyperlink" Target="https://www.e2s.com/products/hazardous-area-signalling/family/rn035" TargetMode="External"/><Relationship Id="rId4" Type="http://schemas.openxmlformats.org/officeDocument/2006/relationships/footnotes" Target="footnotes.xml"/><Relationship Id="rId9" Type="http://schemas.openxmlformats.org/officeDocument/2006/relationships/hyperlink" Target="http://www.parkfield.co.uk/e2s/"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 May</cp:lastModifiedBy>
  <cp:revision>3</cp:revision>
  <dcterms:created xsi:type="dcterms:W3CDTF">2019-05-08T14:45:00Z</dcterms:created>
  <dcterms:modified xsi:type="dcterms:W3CDTF">2019-05-08T14:46:00Z</dcterms:modified>
</cp:coreProperties>
</file>