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9CCB" w14:textId="77777777" w:rsidR="00726487" w:rsidRPr="00E266B1" w:rsidRDefault="00726487" w:rsidP="00810017">
      <w:pPr>
        <w:tabs>
          <w:tab w:val="right" w:pos="9072"/>
        </w:tabs>
        <w:rPr>
          <w:rFonts w:cs="Arial"/>
          <w:color w:val="C00000"/>
        </w:rPr>
      </w:pPr>
      <w:r w:rsidRPr="002F408A">
        <w:rPr>
          <w:rFonts w:cs="Arial"/>
          <w:color w:val="C00000"/>
          <w:sz w:val="50"/>
          <w:szCs w:val="50"/>
        </w:rPr>
        <w:t>PRESS RELEASE</w:t>
      </w:r>
      <w:r w:rsidRPr="00E266B1">
        <w:rPr>
          <w:rFonts w:cs="Arial"/>
          <w:color w:val="C00000"/>
        </w:rPr>
        <w:tab/>
      </w:r>
      <w:r w:rsidRPr="00E266B1">
        <w:rPr>
          <w:rFonts w:cs="Arial"/>
          <w:noProof/>
          <w:color w:val="C00000"/>
        </w:rPr>
        <w:drawing>
          <wp:inline distT="0" distB="0" distL="0" distR="0" wp14:anchorId="261D49F2" wp14:editId="4CAA8F45">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31ACF003" w14:textId="243823A0" w:rsidR="00726487" w:rsidRPr="00E266B1" w:rsidRDefault="00726487"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7" w:history="1">
        <w:r>
          <w:rPr>
            <w:rStyle w:val="Hyperlink"/>
            <w:rFonts w:asciiTheme="minorHAnsi" w:hAnsiTheme="minorHAnsi"/>
            <w:b w:val="0"/>
            <w:bCs w:val="0"/>
            <w:szCs w:val="22"/>
          </w:rPr>
          <w:t>parkfield.co.uk/e2s/otc19-print.jpg</w:t>
        </w:r>
      </w:hyperlink>
    </w:p>
    <w:p w14:paraId="67D6680E" w14:textId="5A24F3A9" w:rsidR="00726487" w:rsidRPr="00726487" w:rsidRDefault="00726487" w:rsidP="00726487">
      <w:pPr>
        <w:tabs>
          <w:tab w:val="left" w:pos="851"/>
          <w:tab w:val="right" w:pos="9072"/>
        </w:tabs>
      </w:pPr>
      <w:r w:rsidRPr="00E266B1">
        <w:t xml:space="preserve">To download a Word file of the text, go to </w:t>
      </w:r>
      <w:hyperlink r:id="rId8" w:history="1">
        <w:r w:rsidR="00464D20">
          <w:rPr>
            <w:rStyle w:val="Hyperlink"/>
          </w:rPr>
          <w:t>parkfield.co.uk/e2s/otc19-gb.docx</w:t>
        </w:r>
      </w:hyperlink>
      <w:r w:rsidRPr="00E266B1">
        <w:t xml:space="preserve"> </w:t>
      </w:r>
      <w:r w:rsidRPr="00E266B1">
        <w:br/>
        <w:t xml:space="preserve">To view all E2S press information, go to </w:t>
      </w:r>
      <w:hyperlink r:id="rId9" w:history="1">
        <w:bookmarkStart w:id="0" w:name="_GoBack"/>
        <w:bookmarkEnd w:id="0"/>
        <w:r>
          <w:rPr>
            <w:rStyle w:val="Hyperlink"/>
            <w:bCs/>
          </w:rPr>
          <w:t>parkfield.co.uk/e2s/</w:t>
        </w:r>
      </w:hyperlink>
      <w:r w:rsidRPr="00E266B1">
        <w:br/>
      </w:r>
    </w:p>
    <w:p w14:paraId="53DF99D5" w14:textId="593881BF" w:rsidR="00950125" w:rsidRDefault="00D32E58" w:rsidP="00726487">
      <w:pPr>
        <w:tabs>
          <w:tab w:val="left" w:pos="851"/>
          <w:tab w:val="right" w:pos="9072"/>
        </w:tabs>
        <w:rPr>
          <w:b/>
        </w:rPr>
      </w:pPr>
      <w:r>
        <w:rPr>
          <w:b/>
        </w:rPr>
        <w:t>E2S launches D1xB2</w:t>
      </w:r>
      <w:r w:rsidR="00FE0280">
        <w:rPr>
          <w:b/>
        </w:rPr>
        <w:t xml:space="preserve"> SIL 2 </w:t>
      </w:r>
      <w:r w:rsidR="000119B0">
        <w:rPr>
          <w:b/>
        </w:rPr>
        <w:t xml:space="preserve">Xenon and LED </w:t>
      </w:r>
      <w:r w:rsidR="00FE0280">
        <w:rPr>
          <w:b/>
        </w:rPr>
        <w:t>beacons</w:t>
      </w:r>
      <w:r>
        <w:rPr>
          <w:b/>
        </w:rPr>
        <w:t xml:space="preserve"> at OTC 2019</w:t>
      </w:r>
    </w:p>
    <w:p w14:paraId="441D65D5" w14:textId="77777777" w:rsidR="00D32E58" w:rsidRDefault="00D32E58" w:rsidP="00D32E58">
      <w:pPr>
        <w:tabs>
          <w:tab w:val="left" w:pos="851"/>
          <w:tab w:val="right" w:pos="9072"/>
        </w:tabs>
        <w:jc w:val="center"/>
        <w:rPr>
          <w:b/>
        </w:rPr>
      </w:pPr>
    </w:p>
    <w:p w14:paraId="36D873F9" w14:textId="3B3AEEE4" w:rsidR="00F75F00" w:rsidRDefault="000119B0" w:rsidP="00F75F00">
      <w:pPr>
        <w:tabs>
          <w:tab w:val="left" w:pos="851"/>
          <w:tab w:val="right" w:pos="9072"/>
        </w:tabs>
      </w:pPr>
      <w:r>
        <w:t xml:space="preserve">The centrepiece of </w:t>
      </w:r>
      <w:r w:rsidR="00FE0280">
        <w:t>E2S Warning Signals</w:t>
      </w:r>
      <w:r>
        <w:t xml:space="preserve">’ </w:t>
      </w:r>
      <w:r w:rsidR="004D22EC">
        <w:t>B</w:t>
      </w:r>
      <w:r>
        <w:t>ooth 1739 at OTC, 6</w:t>
      </w:r>
      <w:r w:rsidRPr="000119B0">
        <w:rPr>
          <w:vertAlign w:val="superscript"/>
        </w:rPr>
        <w:t>th</w:t>
      </w:r>
      <w:r>
        <w:t xml:space="preserve"> – 9</w:t>
      </w:r>
      <w:r w:rsidRPr="000119B0">
        <w:rPr>
          <w:vertAlign w:val="superscript"/>
        </w:rPr>
        <w:t>th</w:t>
      </w:r>
      <w:r>
        <w:t xml:space="preserve"> May, Houston USA, </w:t>
      </w:r>
      <w:r w:rsidR="00AE6B8A">
        <w:t>is</w:t>
      </w:r>
      <w:r>
        <w:t xml:space="preserve"> the latest additions to the </w:t>
      </w:r>
      <w:hyperlink r:id="rId10" w:history="1">
        <w:r w:rsidRPr="009866C9">
          <w:rPr>
            <w:rStyle w:val="Hyperlink"/>
          </w:rPr>
          <w:t>D1x family</w:t>
        </w:r>
      </w:hyperlink>
      <w:r>
        <w:t xml:space="preserve">, the D1xB2 Xenon and LED </w:t>
      </w:r>
      <w:r w:rsidR="00BC2D0D">
        <w:t xml:space="preserve">explosion proof </w:t>
      </w:r>
      <w:r>
        <w:t>beacons for installation in hazardous areas. The</w:t>
      </w:r>
      <w:r w:rsidR="00F75F00">
        <w:t>y</w:t>
      </w:r>
      <w:r>
        <w:t xml:space="preserve"> </w:t>
      </w:r>
      <w:r w:rsidR="00BC2D0D">
        <w:t>are approved by the worlds’ leading certification bodies</w:t>
      </w:r>
      <w:r w:rsidR="00F75F00">
        <w:t xml:space="preserve"> and</w:t>
      </w:r>
      <w:r>
        <w:t xml:space="preserve"> </w:t>
      </w:r>
      <w:r w:rsidR="00F75F00">
        <w:t>include fault diagnostics, supporting SIL2 requirements by enabling the control system to interrogate the devices' operational status.</w:t>
      </w:r>
    </w:p>
    <w:p w14:paraId="28E5D7E6" w14:textId="77777777" w:rsidR="00F75F00" w:rsidRDefault="00F75F00" w:rsidP="00F75F00">
      <w:pPr>
        <w:tabs>
          <w:tab w:val="left" w:pos="851"/>
          <w:tab w:val="right" w:pos="9072"/>
        </w:tabs>
      </w:pPr>
    </w:p>
    <w:p w14:paraId="14984E20" w14:textId="71FECB6F" w:rsidR="00D32E58" w:rsidRDefault="00440C52" w:rsidP="00F75F00">
      <w:pPr>
        <w:tabs>
          <w:tab w:val="left" w:pos="851"/>
          <w:tab w:val="right" w:pos="9072"/>
        </w:tabs>
      </w:pPr>
      <w:r>
        <w:t xml:space="preserve">The D1xB2 beacons are the latest addition to </w:t>
      </w:r>
      <w:r w:rsidR="0049153D">
        <w:t xml:space="preserve">the </w:t>
      </w:r>
      <w:r>
        <w:t xml:space="preserve">comprehensive range of visual warning devices that use the same light engines and control circuitry with a choice of housing materials. The marine grade LM6 aluminium enclosures </w:t>
      </w:r>
      <w:hyperlink r:id="rId11" w:history="1">
        <w:r w:rsidRPr="009866C9">
          <w:rPr>
            <w:rStyle w:val="Hyperlink"/>
          </w:rPr>
          <w:t>D1x</w:t>
        </w:r>
      </w:hyperlink>
      <w:r>
        <w:t xml:space="preserve">, </w:t>
      </w:r>
      <w:hyperlink r:id="rId12" w:history="1">
        <w:r w:rsidRPr="009866C9">
          <w:rPr>
            <w:rStyle w:val="Hyperlink"/>
          </w:rPr>
          <w:t>BEx</w:t>
        </w:r>
      </w:hyperlink>
      <w:r>
        <w:t xml:space="preserve"> and </w:t>
      </w:r>
      <w:hyperlink r:id="rId13" w:history="1">
        <w:r w:rsidRPr="009866C9">
          <w:rPr>
            <w:rStyle w:val="Hyperlink"/>
          </w:rPr>
          <w:t>D2x</w:t>
        </w:r>
      </w:hyperlink>
      <w:r>
        <w:t xml:space="preserve">, the 316L stainless steel </w:t>
      </w:r>
      <w:hyperlink r:id="rId14" w:history="1">
        <w:r w:rsidRPr="009866C9">
          <w:rPr>
            <w:rStyle w:val="Hyperlink"/>
          </w:rPr>
          <w:t>STEx</w:t>
        </w:r>
      </w:hyperlink>
      <w:r>
        <w:t xml:space="preserve"> family and the GRP </w:t>
      </w:r>
      <w:hyperlink r:id="rId15" w:history="1">
        <w:r w:rsidRPr="009866C9">
          <w:rPr>
            <w:rStyle w:val="Hyperlink"/>
          </w:rPr>
          <w:t>GNEx</w:t>
        </w:r>
      </w:hyperlink>
      <w:r w:rsidR="00FD0DBA">
        <w:t xml:space="preserve"> provide </w:t>
      </w:r>
      <w:r w:rsidR="00F75F00">
        <w:t>a variety of mechanical protection, corrosion resistance, weight and prices to suit different environmental requirements and applications. The Polycarbonate, UV stable lenses are available in Amber, Blue, Clear, Green, Magenta, Red and Yellow. Whilst enhancing the light output, the lens filters are also field replaceable, enabling the reassignment of beacon function to be a simple and quick process.</w:t>
      </w:r>
      <w:r w:rsidR="00C47DC3">
        <w:t xml:space="preserve"> A particular D1x version, the </w:t>
      </w:r>
      <w:r w:rsidR="00C47DC3" w:rsidRPr="00C47DC3">
        <w:t>D1xB2XH2</w:t>
      </w:r>
      <w:r w:rsidR="00C47DC3">
        <w:t>,</w:t>
      </w:r>
      <w:r w:rsidR="00C47DC3" w:rsidRPr="00C47DC3">
        <w:t xml:space="preserve"> is the brightest explosion proof Xenon Strobe light/beacon available for public mode fire alarm, ADA compliant, hearing impaired applications. The unit is UL/cUL approved for Class I Div 1, Class II Div 2, Class I Zone 1 suitable for both gas and dust environments.</w:t>
      </w:r>
    </w:p>
    <w:p w14:paraId="31F9E49D" w14:textId="77777777" w:rsidR="00C47DC3" w:rsidRDefault="00C47DC3" w:rsidP="00F75F00">
      <w:pPr>
        <w:tabs>
          <w:tab w:val="left" w:pos="851"/>
          <w:tab w:val="right" w:pos="9072"/>
        </w:tabs>
      </w:pPr>
    </w:p>
    <w:p w14:paraId="5AC41D58" w14:textId="5C018AC1" w:rsidR="009059B5" w:rsidRDefault="0049153D" w:rsidP="00F75F00">
      <w:pPr>
        <w:tabs>
          <w:tab w:val="left" w:pos="851"/>
          <w:tab w:val="right" w:pos="9072"/>
        </w:tabs>
      </w:pPr>
      <w:r>
        <w:t xml:space="preserve">Also featured on the booth are the </w:t>
      </w:r>
      <w:r w:rsidRPr="0049153D">
        <w:t xml:space="preserve">explosion/flameproof </w:t>
      </w:r>
      <w:hyperlink r:id="rId16" w:history="1">
        <w:r w:rsidRPr="009866C9">
          <w:rPr>
            <w:rStyle w:val="Hyperlink"/>
          </w:rPr>
          <w:t>STEx family</w:t>
        </w:r>
      </w:hyperlink>
      <w:r>
        <w:t>, which</w:t>
      </w:r>
      <w:r w:rsidRPr="0049153D">
        <w:t xml:space="preserve"> encompasses audible, visual and combined warning devices and manual call points, all housed in 316L stainless steel enclosures. Designed for installation in the harshest of onshore and offshore environments where corrosion is a particular problem, the units are IECEx and ATEX Zones 1 and 21 approved for use in hazardous areas.</w:t>
      </w:r>
    </w:p>
    <w:p w14:paraId="30A6AFA8" w14:textId="77777777" w:rsidR="0049153D" w:rsidRDefault="0049153D" w:rsidP="009059B5">
      <w:pPr>
        <w:tabs>
          <w:tab w:val="left" w:pos="851"/>
          <w:tab w:val="right" w:pos="9072"/>
        </w:tabs>
      </w:pPr>
    </w:p>
    <w:p w14:paraId="05AD8F16" w14:textId="3503C11E" w:rsidR="009059B5" w:rsidRDefault="00AA6FA9" w:rsidP="009059B5">
      <w:pPr>
        <w:tabs>
          <w:tab w:val="left" w:pos="851"/>
          <w:tab w:val="right" w:pos="9072"/>
        </w:tabs>
      </w:pPr>
      <w:r>
        <w:t>Brett Isard</w:t>
      </w:r>
      <w:r w:rsidR="009059B5">
        <w:t xml:space="preserve">, </w:t>
      </w:r>
      <w:r>
        <w:t>London-based Managing Director,</w:t>
      </w:r>
      <w:r w:rsidR="009059B5">
        <w:t xml:space="preserve"> and </w:t>
      </w:r>
      <w:r>
        <w:t>Scott Harman</w:t>
      </w:r>
      <w:r w:rsidR="009059B5">
        <w:t xml:space="preserve">, </w:t>
      </w:r>
      <w:r w:rsidR="009866C9">
        <w:t xml:space="preserve">Houston-based </w:t>
      </w:r>
      <w:r w:rsidR="00F6740D">
        <w:t>VP Sales North America</w:t>
      </w:r>
      <w:r w:rsidR="009059B5">
        <w:t>, will be manning the booth to meet existing customers and contacts, demonstrate products, answer questions and discuss upcoming new product developments.</w:t>
      </w:r>
    </w:p>
    <w:p w14:paraId="6E56E44E" w14:textId="77777777" w:rsidR="009059B5" w:rsidRDefault="009059B5" w:rsidP="00F75F00">
      <w:pPr>
        <w:tabs>
          <w:tab w:val="left" w:pos="851"/>
          <w:tab w:val="right" w:pos="9072"/>
        </w:tabs>
      </w:pPr>
    </w:p>
    <w:p w14:paraId="5F9D562D" w14:textId="77777777" w:rsidR="00726487" w:rsidRPr="001A55B1" w:rsidRDefault="0049153D" w:rsidP="00677EE0">
      <w:pPr>
        <w:rPr>
          <w:rFonts w:cs="Arial"/>
          <w:b/>
          <w:lang w:eastAsia="en-GB"/>
        </w:rPr>
      </w:pPr>
      <w:r>
        <w:t xml:space="preserve">*** Ends: body copy </w:t>
      </w:r>
      <w:r w:rsidR="002909D3">
        <w:t>31</w:t>
      </w:r>
      <w:r w:rsidR="009866C9">
        <w:t>9</w:t>
      </w:r>
      <w:r w:rsidR="002909D3">
        <w:t xml:space="preserve"> words ***</w:t>
      </w:r>
      <w:r w:rsidR="00726487">
        <w:br/>
      </w:r>
      <w:r w:rsidR="00726487">
        <w:br/>
      </w:r>
      <w:r w:rsidR="00726487" w:rsidRPr="001A55B1">
        <w:rPr>
          <w:rFonts w:cs="Arial"/>
          <w:b/>
          <w:lang w:eastAsia="en-GB"/>
        </w:rPr>
        <w:t>Notes to Editors.</w:t>
      </w:r>
    </w:p>
    <w:p w14:paraId="31FFF25C" w14:textId="68767BE9" w:rsidR="00726487" w:rsidRDefault="00726487" w:rsidP="00677EE0">
      <w:pPr>
        <w:rPr>
          <w:rFonts w:cs="Arial"/>
          <w:b/>
          <w:lang w:eastAsia="en-GB"/>
        </w:rPr>
      </w:pPr>
      <w:r>
        <w:rPr>
          <w:rFonts w:cs="Arial"/>
          <w:b/>
          <w:lang w:eastAsia="en-GB"/>
        </w:rPr>
        <w:t>Released 27 February 2019</w:t>
      </w:r>
    </w:p>
    <w:p w14:paraId="247C8CF6" w14:textId="77777777" w:rsidR="00726487" w:rsidRPr="00726487" w:rsidRDefault="00726487" w:rsidP="00677EE0">
      <w:pPr>
        <w:rPr>
          <w:rFonts w:cs="Arial"/>
          <w:b/>
          <w:lang w:eastAsia="en-GB"/>
        </w:rPr>
      </w:pPr>
    </w:p>
    <w:p w14:paraId="4301907C" w14:textId="77777777" w:rsidR="00726487" w:rsidRPr="001A55B1" w:rsidRDefault="00726487" w:rsidP="00677EE0">
      <w:pPr>
        <w:rPr>
          <w:rFonts w:cs="Arial"/>
          <w:lang w:eastAsia="en-GB"/>
        </w:rPr>
      </w:pPr>
      <w:r w:rsidRPr="001A55B1">
        <w:rPr>
          <w:rFonts w:cs="Arial"/>
          <w:lang w:eastAsia="en-GB"/>
        </w:rPr>
        <w:t>For all follow-up enquiries, please contact:</w:t>
      </w:r>
      <w:r w:rsidRPr="001A55B1">
        <w:rPr>
          <w:rFonts w:cs="Arial"/>
          <w:lang w:eastAsia="en-GB"/>
        </w:rPr>
        <w:tab/>
      </w:r>
    </w:p>
    <w:p w14:paraId="2E10AF74" w14:textId="77777777" w:rsidR="00726487" w:rsidRDefault="00726487" w:rsidP="00677EE0">
      <w:pPr>
        <w:rPr>
          <w:rFonts w:cs="Arial"/>
          <w:lang w:eastAsia="en-GB"/>
        </w:rPr>
      </w:pPr>
    </w:p>
    <w:p w14:paraId="5127B6C7" w14:textId="77777777" w:rsidR="00726487" w:rsidRPr="001A55B1" w:rsidRDefault="00726487" w:rsidP="00677EE0">
      <w:pPr>
        <w:rPr>
          <w:rFonts w:cs="Arial"/>
          <w:lang w:eastAsia="en-GB"/>
        </w:rPr>
      </w:pPr>
      <w:r w:rsidRPr="001A55B1">
        <w:rPr>
          <w:rFonts w:cs="Arial"/>
          <w:lang w:eastAsia="en-GB"/>
        </w:rPr>
        <w:t>Nigel May</w:t>
      </w:r>
      <w:r w:rsidRPr="001A55B1">
        <w:rPr>
          <w:rFonts w:cs="Arial"/>
          <w:lang w:eastAsia="en-GB"/>
        </w:rPr>
        <w:tab/>
      </w:r>
    </w:p>
    <w:p w14:paraId="7B9BCEA0" w14:textId="77777777" w:rsidR="00726487" w:rsidRPr="001A55B1" w:rsidRDefault="00726487" w:rsidP="00677EE0">
      <w:pPr>
        <w:rPr>
          <w:rFonts w:cs="Arial"/>
          <w:lang w:eastAsia="en-GB"/>
        </w:rPr>
      </w:pPr>
      <w:r w:rsidRPr="001A55B1">
        <w:rPr>
          <w:rFonts w:cs="Arial"/>
          <w:lang w:eastAsia="en-GB"/>
        </w:rPr>
        <w:t>Parkfield Communications Limited</w:t>
      </w:r>
    </w:p>
    <w:p w14:paraId="2352C444" w14:textId="77777777" w:rsidR="00726487" w:rsidRPr="001A55B1" w:rsidRDefault="00726487" w:rsidP="00677EE0">
      <w:pPr>
        <w:rPr>
          <w:rFonts w:cs="Arial"/>
          <w:lang w:eastAsia="en-GB"/>
        </w:rPr>
      </w:pPr>
      <w:r w:rsidRPr="001A55B1">
        <w:rPr>
          <w:rFonts w:cs="Arial"/>
          <w:lang w:eastAsia="en-GB"/>
        </w:rPr>
        <w:t>Parkfield House</w:t>
      </w:r>
    </w:p>
    <w:p w14:paraId="39402D29" w14:textId="77777777" w:rsidR="00726487" w:rsidRPr="001A55B1" w:rsidRDefault="00726487" w:rsidP="00677EE0">
      <w:pPr>
        <w:rPr>
          <w:rFonts w:cs="Arial"/>
          <w:lang w:eastAsia="en-GB"/>
        </w:rPr>
      </w:pPr>
      <w:r w:rsidRPr="001A55B1">
        <w:rPr>
          <w:rFonts w:cs="Arial"/>
          <w:lang w:eastAsia="en-GB"/>
        </w:rPr>
        <w:t>Damerham</w:t>
      </w:r>
    </w:p>
    <w:p w14:paraId="6E114A2B" w14:textId="77777777" w:rsidR="00726487" w:rsidRDefault="00726487" w:rsidP="00677EE0">
      <w:pPr>
        <w:rPr>
          <w:rFonts w:cs="Arial"/>
          <w:lang w:eastAsia="en-GB"/>
        </w:rPr>
      </w:pPr>
      <w:r w:rsidRPr="001A55B1">
        <w:rPr>
          <w:rFonts w:cs="Arial"/>
          <w:lang w:eastAsia="en-GB"/>
        </w:rPr>
        <w:t>SP6 3HQ</w:t>
      </w:r>
    </w:p>
    <w:p w14:paraId="28575061" w14:textId="77777777" w:rsidR="00726487" w:rsidRPr="001A55B1" w:rsidRDefault="00726487" w:rsidP="00677EE0">
      <w:pPr>
        <w:rPr>
          <w:rFonts w:cs="Arial"/>
          <w:lang w:eastAsia="en-GB"/>
        </w:rPr>
      </w:pPr>
      <w:r>
        <w:rPr>
          <w:rFonts w:cs="Arial"/>
          <w:lang w:eastAsia="en-GB"/>
        </w:rPr>
        <w:lastRenderedPageBreak/>
        <w:t>Great Britain</w:t>
      </w:r>
    </w:p>
    <w:p w14:paraId="38B35D59" w14:textId="77777777" w:rsidR="00726487" w:rsidRPr="001A55B1" w:rsidRDefault="00726487" w:rsidP="00677EE0">
      <w:pPr>
        <w:rPr>
          <w:rFonts w:cs="Arial"/>
          <w:lang w:eastAsia="en-GB"/>
        </w:rPr>
      </w:pPr>
      <w:r w:rsidRPr="001A55B1">
        <w:rPr>
          <w:rFonts w:cs="Arial"/>
          <w:lang w:eastAsia="en-GB"/>
        </w:rPr>
        <w:t>Tel: + 44 (0)1725 518321</w:t>
      </w:r>
    </w:p>
    <w:p w14:paraId="5410FD71" w14:textId="77777777" w:rsidR="00726487" w:rsidRPr="001A55B1" w:rsidRDefault="00726487" w:rsidP="00677EE0">
      <w:pPr>
        <w:rPr>
          <w:rFonts w:cs="Arial"/>
          <w:lang w:val="fr-FR" w:eastAsia="en-GB"/>
        </w:rPr>
      </w:pPr>
      <w:r w:rsidRPr="001A55B1">
        <w:rPr>
          <w:rFonts w:cs="Arial"/>
          <w:lang w:val="fr-FR" w:eastAsia="en-GB"/>
        </w:rPr>
        <w:t>Fax: + 44 (0)1725 518378</w:t>
      </w:r>
    </w:p>
    <w:p w14:paraId="2AD7B749" w14:textId="77777777" w:rsidR="00726487" w:rsidRPr="001A55B1" w:rsidRDefault="000E1B50" w:rsidP="00677EE0">
      <w:pPr>
        <w:rPr>
          <w:rFonts w:cs="Arial"/>
          <w:lang w:val="fr-FR" w:eastAsia="en-GB"/>
        </w:rPr>
      </w:pPr>
      <w:hyperlink r:id="rId17" w:history="1">
        <w:r w:rsidR="00726487" w:rsidRPr="005D1879">
          <w:rPr>
            <w:rStyle w:val="Hyperlink"/>
            <w:rFonts w:cs="Arial"/>
            <w:lang w:val="fr-FR" w:eastAsia="en-GB"/>
          </w:rPr>
          <w:t>nigel.may@parkfield.co.uk</w:t>
        </w:r>
      </w:hyperlink>
      <w:r w:rsidR="00726487">
        <w:rPr>
          <w:rFonts w:cs="Arial"/>
          <w:lang w:val="fr-FR" w:eastAsia="en-GB"/>
        </w:rPr>
        <w:t xml:space="preserve"> </w:t>
      </w:r>
    </w:p>
    <w:p w14:paraId="309F4031" w14:textId="77777777" w:rsidR="00726487" w:rsidRPr="002A74D4" w:rsidRDefault="000E1B50" w:rsidP="00677EE0">
      <w:pPr>
        <w:rPr>
          <w:rFonts w:cs="Arial"/>
          <w:lang w:eastAsia="en-GB"/>
        </w:rPr>
      </w:pPr>
      <w:hyperlink r:id="rId18" w:history="1">
        <w:r w:rsidR="00726487" w:rsidRPr="002A74D4">
          <w:rPr>
            <w:rStyle w:val="Hyperlink"/>
            <w:rFonts w:cs="Arial"/>
            <w:lang w:eastAsia="en-GB"/>
          </w:rPr>
          <w:t>parkfield.co.uk</w:t>
        </w:r>
      </w:hyperlink>
      <w:r w:rsidR="00726487" w:rsidRPr="002A74D4">
        <w:rPr>
          <w:rFonts w:cs="Arial"/>
          <w:lang w:eastAsia="en-GB"/>
        </w:rPr>
        <w:t xml:space="preserve"> </w:t>
      </w:r>
    </w:p>
    <w:p w14:paraId="686E5504" w14:textId="77777777" w:rsidR="00726487" w:rsidRPr="001A55B1" w:rsidRDefault="00726487"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6BC063A6" w14:textId="77777777" w:rsidR="00726487" w:rsidRDefault="00726487" w:rsidP="00677EE0">
      <w:pPr>
        <w:rPr>
          <w:rFonts w:cs="Arial"/>
          <w:lang w:eastAsia="en-GB"/>
        </w:rPr>
      </w:pPr>
    </w:p>
    <w:p w14:paraId="4EBBD868" w14:textId="77777777" w:rsidR="00726487" w:rsidRPr="001A55B1" w:rsidRDefault="00726487" w:rsidP="00677EE0">
      <w:pPr>
        <w:rPr>
          <w:rFonts w:cs="Arial"/>
          <w:lang w:eastAsia="en-GB"/>
        </w:rPr>
      </w:pPr>
      <w:r w:rsidRPr="001A55B1">
        <w:rPr>
          <w:rFonts w:cs="Arial"/>
          <w:lang w:eastAsia="en-GB"/>
        </w:rPr>
        <w:t>E2S Warning Signals</w:t>
      </w:r>
    </w:p>
    <w:p w14:paraId="1769E66D" w14:textId="77777777" w:rsidR="00726487" w:rsidRPr="001A55B1" w:rsidRDefault="00726487" w:rsidP="00677EE0">
      <w:pPr>
        <w:rPr>
          <w:rFonts w:cs="Arial"/>
          <w:lang w:eastAsia="en-GB"/>
        </w:rPr>
      </w:pPr>
      <w:r w:rsidRPr="001A55B1">
        <w:rPr>
          <w:rFonts w:cs="Arial"/>
          <w:lang w:eastAsia="en-GB"/>
        </w:rPr>
        <w:t>Impress House</w:t>
      </w:r>
    </w:p>
    <w:p w14:paraId="54B99280" w14:textId="77777777" w:rsidR="00726487" w:rsidRPr="001A55B1" w:rsidRDefault="00726487" w:rsidP="00677EE0">
      <w:pPr>
        <w:rPr>
          <w:rFonts w:cs="Arial"/>
          <w:lang w:eastAsia="en-GB"/>
        </w:rPr>
      </w:pPr>
      <w:r w:rsidRPr="001A55B1">
        <w:rPr>
          <w:rFonts w:cs="Arial"/>
          <w:lang w:eastAsia="en-GB"/>
        </w:rPr>
        <w:t>Mansell Road</w:t>
      </w:r>
    </w:p>
    <w:p w14:paraId="6E362D76" w14:textId="77777777" w:rsidR="00726487" w:rsidRPr="001A55B1" w:rsidRDefault="00726487" w:rsidP="00677EE0">
      <w:pPr>
        <w:rPr>
          <w:rFonts w:cs="Arial"/>
          <w:lang w:eastAsia="en-GB"/>
        </w:rPr>
      </w:pPr>
      <w:r w:rsidRPr="001A55B1">
        <w:rPr>
          <w:rFonts w:cs="Arial"/>
          <w:lang w:eastAsia="en-GB"/>
        </w:rPr>
        <w:t>London</w:t>
      </w:r>
    </w:p>
    <w:p w14:paraId="2F7AF676" w14:textId="77777777" w:rsidR="00726487" w:rsidRDefault="00726487" w:rsidP="00677EE0">
      <w:pPr>
        <w:rPr>
          <w:rFonts w:cs="Arial"/>
          <w:lang w:eastAsia="en-GB"/>
        </w:rPr>
      </w:pPr>
      <w:r w:rsidRPr="001A55B1">
        <w:rPr>
          <w:rFonts w:cs="Arial"/>
          <w:lang w:eastAsia="en-GB"/>
        </w:rPr>
        <w:t>W3 7QH</w:t>
      </w:r>
    </w:p>
    <w:p w14:paraId="1B4DEA9B" w14:textId="77777777" w:rsidR="00726487" w:rsidRPr="001A55B1" w:rsidRDefault="00726487" w:rsidP="00677EE0">
      <w:pPr>
        <w:rPr>
          <w:rFonts w:cs="Arial"/>
          <w:lang w:eastAsia="en-GB"/>
        </w:rPr>
      </w:pPr>
      <w:r>
        <w:rPr>
          <w:rFonts w:cs="Arial"/>
          <w:lang w:eastAsia="en-GB"/>
        </w:rPr>
        <w:t>Great Britain</w:t>
      </w:r>
    </w:p>
    <w:p w14:paraId="172DF8B4" w14:textId="77777777" w:rsidR="00726487" w:rsidRPr="001A55B1" w:rsidRDefault="00726487" w:rsidP="00677EE0">
      <w:pPr>
        <w:rPr>
          <w:rFonts w:cs="Arial"/>
          <w:lang w:eastAsia="en-GB"/>
        </w:rPr>
      </w:pPr>
      <w:r w:rsidRPr="001A55B1">
        <w:rPr>
          <w:rFonts w:cs="Arial"/>
          <w:lang w:eastAsia="en-GB"/>
        </w:rPr>
        <w:t>Tel: + 44 (0)20 8743 8880</w:t>
      </w:r>
    </w:p>
    <w:p w14:paraId="59AAD44D" w14:textId="77777777" w:rsidR="00726487" w:rsidRPr="00935C93" w:rsidRDefault="00726487" w:rsidP="00677EE0">
      <w:pPr>
        <w:rPr>
          <w:rFonts w:cs="Arial"/>
          <w:lang w:val="pt-BR" w:eastAsia="en-GB"/>
        </w:rPr>
      </w:pPr>
      <w:r w:rsidRPr="00935C93">
        <w:rPr>
          <w:rFonts w:cs="Arial"/>
          <w:lang w:val="pt-BR" w:eastAsia="en-GB"/>
        </w:rPr>
        <w:t>Fax: + 44 (0)20 8740 4200</w:t>
      </w:r>
    </w:p>
    <w:p w14:paraId="099F6FAF" w14:textId="77777777" w:rsidR="00726487" w:rsidRPr="00935C93" w:rsidRDefault="000E1B50" w:rsidP="00677EE0">
      <w:pPr>
        <w:rPr>
          <w:rFonts w:cs="Arial"/>
          <w:lang w:val="pt-BR" w:eastAsia="en-GB"/>
        </w:rPr>
      </w:pPr>
      <w:hyperlink r:id="rId19" w:history="1">
        <w:r w:rsidR="00726487" w:rsidRPr="00935C93">
          <w:rPr>
            <w:rStyle w:val="Hyperlink"/>
            <w:rFonts w:cs="Arial"/>
            <w:lang w:val="pt-BR" w:eastAsia="en-GB"/>
          </w:rPr>
          <w:t>sales@e2s.com</w:t>
        </w:r>
      </w:hyperlink>
      <w:r w:rsidR="00726487" w:rsidRPr="00935C93">
        <w:rPr>
          <w:rFonts w:cs="Arial"/>
          <w:lang w:val="pt-BR" w:eastAsia="en-GB"/>
        </w:rPr>
        <w:t xml:space="preserve"> </w:t>
      </w:r>
    </w:p>
    <w:p w14:paraId="448C3AA8" w14:textId="77777777" w:rsidR="00726487" w:rsidRPr="00935C93" w:rsidRDefault="000E1B50" w:rsidP="00677EE0">
      <w:pPr>
        <w:tabs>
          <w:tab w:val="left" w:pos="851"/>
          <w:tab w:val="right" w:pos="9072"/>
        </w:tabs>
        <w:rPr>
          <w:lang w:val="pt-BR"/>
        </w:rPr>
      </w:pPr>
      <w:hyperlink r:id="rId20" w:history="1">
        <w:r w:rsidR="00726487" w:rsidRPr="00935C93">
          <w:rPr>
            <w:rStyle w:val="Hyperlink"/>
            <w:rFonts w:cs="Arial"/>
            <w:lang w:val="pt-BR" w:eastAsia="en-GB"/>
          </w:rPr>
          <w:t>e2s.com</w:t>
        </w:r>
      </w:hyperlink>
    </w:p>
    <w:p w14:paraId="52B30DB5" w14:textId="77777777" w:rsidR="00726487" w:rsidRPr="00677EE0" w:rsidRDefault="00726487" w:rsidP="00431BB0">
      <w:pPr>
        <w:tabs>
          <w:tab w:val="left" w:pos="851"/>
          <w:tab w:val="right" w:pos="9072"/>
        </w:tabs>
        <w:rPr>
          <w:lang w:val="pt-BR"/>
        </w:rPr>
      </w:pPr>
    </w:p>
    <w:p w14:paraId="16816FB6" w14:textId="6C3314F4" w:rsidR="00C47DC3" w:rsidRPr="00726487" w:rsidRDefault="00C47DC3" w:rsidP="00F75F00">
      <w:pPr>
        <w:tabs>
          <w:tab w:val="left" w:pos="851"/>
          <w:tab w:val="right" w:pos="9072"/>
        </w:tabs>
        <w:rPr>
          <w:lang w:val="pt-BR"/>
        </w:rPr>
      </w:pPr>
    </w:p>
    <w:sectPr w:rsidR="00C47DC3" w:rsidRPr="00726487" w:rsidSect="002D201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FF8F" w14:textId="77777777" w:rsidR="000E1B50" w:rsidRDefault="000E1B50" w:rsidP="00AA6FA9">
      <w:r>
        <w:separator/>
      </w:r>
    </w:p>
  </w:endnote>
  <w:endnote w:type="continuationSeparator" w:id="0">
    <w:p w14:paraId="0693B591" w14:textId="77777777" w:rsidR="000E1B50" w:rsidRDefault="000E1B50" w:rsidP="00AA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ABD0E" w14:textId="77777777" w:rsidR="000E1B50" w:rsidRDefault="000E1B50" w:rsidP="00AA6FA9">
      <w:r>
        <w:separator/>
      </w:r>
    </w:p>
  </w:footnote>
  <w:footnote w:type="continuationSeparator" w:id="0">
    <w:p w14:paraId="2EBA1AC6" w14:textId="77777777" w:rsidR="000E1B50" w:rsidRDefault="000E1B50" w:rsidP="00AA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58"/>
    <w:rsid w:val="000119B0"/>
    <w:rsid w:val="000E1B50"/>
    <w:rsid w:val="00125330"/>
    <w:rsid w:val="00230369"/>
    <w:rsid w:val="00264787"/>
    <w:rsid w:val="002909D3"/>
    <w:rsid w:val="002D2013"/>
    <w:rsid w:val="003117D9"/>
    <w:rsid w:val="0032549F"/>
    <w:rsid w:val="00431BB0"/>
    <w:rsid w:val="0043507E"/>
    <w:rsid w:val="00440C52"/>
    <w:rsid w:val="00464D20"/>
    <w:rsid w:val="0047415B"/>
    <w:rsid w:val="0049153D"/>
    <w:rsid w:val="004D22EC"/>
    <w:rsid w:val="005B335D"/>
    <w:rsid w:val="005C73C1"/>
    <w:rsid w:val="006D368B"/>
    <w:rsid w:val="00726487"/>
    <w:rsid w:val="00891D4B"/>
    <w:rsid w:val="008E34D4"/>
    <w:rsid w:val="009059B5"/>
    <w:rsid w:val="00950125"/>
    <w:rsid w:val="009866C9"/>
    <w:rsid w:val="00AA6FA9"/>
    <w:rsid w:val="00AE6B8A"/>
    <w:rsid w:val="00B21E65"/>
    <w:rsid w:val="00B92216"/>
    <w:rsid w:val="00BC019E"/>
    <w:rsid w:val="00BC2D0D"/>
    <w:rsid w:val="00BC666A"/>
    <w:rsid w:val="00BD742D"/>
    <w:rsid w:val="00C47DC3"/>
    <w:rsid w:val="00D21481"/>
    <w:rsid w:val="00D32E58"/>
    <w:rsid w:val="00D57A62"/>
    <w:rsid w:val="00F6740D"/>
    <w:rsid w:val="00F75F00"/>
    <w:rsid w:val="00FD0DBA"/>
    <w:rsid w:val="00FE0280"/>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D652"/>
  <w14:defaultImageDpi w14:val="330"/>
  <w15:chartTrackingRefBased/>
  <w15:docId w15:val="{B0A74E8E-41BB-4796-A222-48E9496D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FA9"/>
    <w:pPr>
      <w:tabs>
        <w:tab w:val="center" w:pos="4513"/>
        <w:tab w:val="right" w:pos="9026"/>
      </w:tabs>
    </w:pPr>
  </w:style>
  <w:style w:type="character" w:customStyle="1" w:styleId="HeaderChar">
    <w:name w:val="Header Char"/>
    <w:basedOn w:val="DefaultParagraphFont"/>
    <w:link w:val="Header"/>
    <w:uiPriority w:val="99"/>
    <w:rsid w:val="00AA6FA9"/>
  </w:style>
  <w:style w:type="paragraph" w:styleId="Footer">
    <w:name w:val="footer"/>
    <w:basedOn w:val="Normal"/>
    <w:link w:val="FooterChar"/>
    <w:uiPriority w:val="99"/>
    <w:unhideWhenUsed/>
    <w:rsid w:val="00AA6FA9"/>
    <w:pPr>
      <w:tabs>
        <w:tab w:val="center" w:pos="4513"/>
        <w:tab w:val="right" w:pos="9026"/>
      </w:tabs>
    </w:pPr>
  </w:style>
  <w:style w:type="character" w:customStyle="1" w:styleId="FooterChar">
    <w:name w:val="Footer Char"/>
    <w:basedOn w:val="DefaultParagraphFont"/>
    <w:link w:val="Footer"/>
    <w:uiPriority w:val="99"/>
    <w:rsid w:val="00AA6FA9"/>
  </w:style>
  <w:style w:type="character" w:styleId="Hyperlink">
    <w:name w:val="Hyperlink"/>
    <w:basedOn w:val="DefaultParagraphFont"/>
    <w:uiPriority w:val="99"/>
    <w:unhideWhenUsed/>
    <w:rsid w:val="009866C9"/>
    <w:rPr>
      <w:color w:val="0000FF" w:themeColor="hyperlink"/>
      <w:u w:val="single"/>
    </w:rPr>
  </w:style>
  <w:style w:type="character" w:styleId="UnresolvedMention">
    <w:name w:val="Unresolved Mention"/>
    <w:basedOn w:val="DefaultParagraphFont"/>
    <w:uiPriority w:val="99"/>
    <w:semiHidden/>
    <w:unhideWhenUsed/>
    <w:rsid w:val="009866C9"/>
    <w:rPr>
      <w:color w:val="605E5C"/>
      <w:shd w:val="clear" w:color="auto" w:fill="E1DFDD"/>
    </w:rPr>
  </w:style>
  <w:style w:type="paragraph" w:styleId="Title">
    <w:name w:val="Title"/>
    <w:basedOn w:val="Normal"/>
    <w:link w:val="TitleChar"/>
    <w:qFormat/>
    <w:rsid w:val="00726487"/>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sid w:val="00726487"/>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otc19-gb.docx" TargetMode="External"/><Relationship Id="rId13" Type="http://schemas.openxmlformats.org/officeDocument/2006/relationships/hyperlink" Target="http://www.e2s.com/products/range/d2x"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kfield.co.uk/e2s/otc19-print.jpg" TargetMode="External"/><Relationship Id="rId12" Type="http://schemas.openxmlformats.org/officeDocument/2006/relationships/hyperlink" Target="http://www.e2s.com/products/range/bex"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www.e2s.com/products/range/stex"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2s.com/products/range/d1x" TargetMode="External"/><Relationship Id="rId5" Type="http://schemas.openxmlformats.org/officeDocument/2006/relationships/endnotes" Target="endnotes.xml"/><Relationship Id="rId15" Type="http://schemas.openxmlformats.org/officeDocument/2006/relationships/hyperlink" Target="http://www.e2s.com/products/range/gnex" TargetMode="External"/><Relationship Id="rId10" Type="http://schemas.openxmlformats.org/officeDocument/2006/relationships/hyperlink" Target="http://www.e2s.com/products/range/d1x"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products/range/st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2</cp:revision>
  <dcterms:created xsi:type="dcterms:W3CDTF">2019-02-25T11:28:00Z</dcterms:created>
  <dcterms:modified xsi:type="dcterms:W3CDTF">2019-02-25T11:28:00Z</dcterms:modified>
</cp:coreProperties>
</file>