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851"/>
          <w:tab w:val="right" w:pos="9072"/>
        </w:tabs>
        <w:spacing w:after="0" w:line="240" w:lineRule="auto"/>
        <w:rPr>
          <w:rFonts w:cs="Arial"/>
          <w:color w:val="C00000"/>
          <w:sz w:val="52"/>
          <w:szCs w:val="52"/>
        </w:rPr>
      </w:pPr>
      <w:r>
        <w:rPr>
          <w:rFonts w:cs="Arial"/>
          <w:color w:val="C00000"/>
          <w:sz w:val="52"/>
          <w:szCs w:val="52"/>
          <w:lang w:eastAsia="en-GB"/>
        </w:rPr>
        <w:t>Informações para a Imprensa</w:t>
      </w:r>
      <w:r>
        <w:rPr>
          <w:rFonts w:cs="Arial"/>
          <w:color w:val="C00000"/>
          <w:sz w:val="52"/>
          <w:szCs w:val="52"/>
          <w:lang w:eastAsia="en-GB"/>
        </w:rPr>
        <w:tab/>
      </w:r>
    </w:p>
    <w:p>
      <w:pPr>
        <w:spacing w:after="0" w:line="240" w:lineRule="auto"/>
        <w:rPr>
          <w:rFonts w:cs="Calibri"/>
          <w:color w:val="000000" w:themeColor="text1"/>
          <w:lang w:eastAsia="en-GB"/>
        </w:rPr>
      </w:pPr>
    </w:p>
    <w:p>
      <w:pPr>
        <w:spacing w:after="0" w:line="240" w:lineRule="auto"/>
        <w:rPr>
          <w:rFonts w:cs="Calibri"/>
          <w:color w:val="000000" w:themeColor="text1"/>
          <w:lang w:eastAsia="en-GB"/>
        </w:rPr>
      </w:pPr>
      <w:r>
        <w:rPr>
          <w:rFonts w:cs="Calibri"/>
          <w:color w:val="000000" w:themeColor="text1"/>
          <w:lang w:eastAsia="en-GB"/>
        </w:rPr>
        <w:t>Para baixar imagem de qualidade para impressão 300 dpi,</w:t>
      </w:r>
    </w:p>
    <w:p>
      <w:pPr>
        <w:spacing w:after="0" w:line="240" w:lineRule="auto"/>
        <w:rPr>
          <w:rFonts w:cs="Calibri"/>
          <w:color w:val="000000" w:themeColor="text1"/>
          <w:lang w:eastAsia="en-GB"/>
        </w:rPr>
      </w:pPr>
      <w:r>
        <w:rPr>
          <w:rFonts w:cs="Calibri"/>
          <w:color w:val="000000" w:themeColor="text1"/>
          <w:lang w:eastAsia="en-GB"/>
        </w:rPr>
        <w:t xml:space="preserve">vá para </w:t>
      </w:r>
      <w:hyperlink r:id="rId6">
        <w:r>
          <w:rPr>
            <w:rStyle w:val="InternetLink"/>
            <w:rFonts w:cs="Calibri"/>
            <w:lang w:eastAsia="en-GB"/>
          </w:rPr>
          <w:t>parkfield.co.uk/e2s/otc20-print.jpg</w:t>
        </w:r>
      </w:hyperlink>
      <w:r>
        <w:rPr>
          <w:rFonts w:cs="Calibri"/>
          <w:color w:val="000000" w:themeColor="text1"/>
          <w:lang w:eastAsia="en-GB"/>
        </w:rPr>
        <w:t xml:space="preserve"> </w:t>
      </w:r>
      <w:r>
        <w:rPr>
          <w:rFonts w:cs="Calibri"/>
          <w:color w:val="000000" w:themeColor="text1"/>
          <w:lang w:eastAsia="en-GB"/>
        </w:rPr>
        <w:br/>
      </w:r>
    </w:p>
    <w:p>
      <w:pPr>
        <w:spacing w:after="0" w:line="240" w:lineRule="auto"/>
      </w:pPr>
      <w:r>
        <w:rPr>
          <w:rFonts w:cs="Calibri"/>
          <w:color w:val="000000" w:themeColor="text1"/>
          <w:lang w:eastAsia="en-GB"/>
        </w:rPr>
        <w:t xml:space="preserve">Para baixar o texto em arquivo Word, vá para </w:t>
      </w:r>
      <w:hyperlink r:id="rId7">
        <w:r>
          <w:rPr>
            <w:rStyle w:val="InternetLink"/>
            <w:rFonts w:cs="Calibri"/>
            <w:lang w:eastAsia="en-GB"/>
          </w:rPr>
          <w:t>parkfield.co.uk/e2s/otc20</w:t>
        </w:r>
        <w:bookmarkStart w:id="0" w:name="_GoBack"/>
        <w:bookmarkEnd w:id="0"/>
        <w:r>
          <w:rPr>
            <w:rStyle w:val="InternetLink"/>
            <w:rFonts w:cs="Calibri"/>
            <w:lang w:eastAsia="en-GB"/>
          </w:rPr>
          <w:t>-br.docx</w:t>
        </w:r>
      </w:hyperlink>
    </w:p>
    <w:p>
      <w:pPr>
        <w:spacing w:after="0" w:line="240" w:lineRule="auto"/>
        <w:rPr>
          <w:rFonts w:cs="Calibri"/>
          <w:color w:val="000000" w:themeColor="text1"/>
          <w:lang w:eastAsia="en-GB"/>
        </w:rPr>
      </w:pPr>
    </w:p>
    <w:p>
      <w:pPr>
        <w:spacing w:after="0" w:line="240" w:lineRule="auto"/>
      </w:pPr>
      <w:r>
        <w:rPr>
          <w:rFonts w:cs="Calibri"/>
          <w:color w:val="000000" w:themeColor="text1"/>
          <w:lang w:eastAsia="en-GB"/>
        </w:rPr>
        <w:t xml:space="preserve">Para ver todas as informações, acesse </w:t>
      </w:r>
      <w:hyperlink r:id="rId8">
        <w:r>
          <w:rPr>
            <w:rStyle w:val="InternetLink"/>
          </w:rPr>
          <w:t>parkfield.co.uk/e2s/</w:t>
        </w:r>
      </w:hyperlink>
    </w:p>
    <w:p>
      <w:pPr>
        <w:spacing w:after="0" w:line="240" w:lineRule="auto"/>
        <w:contextualSpacing/>
        <w:rPr>
          <w:b/>
        </w:rPr>
      </w:pPr>
    </w:p>
    <w:p>
      <w:pPr>
        <w:spacing w:after="0" w:line="240" w:lineRule="auto"/>
        <w:contextualSpacing/>
      </w:pPr>
      <w:r>
        <w:rPr>
          <w:b/>
        </w:rPr>
        <w:t>E2S direciona seu foco aos conjuntos de dispositivos de aviso integrados para áreas perigosas na OTC 2020</w:t>
      </w:r>
    </w:p>
    <w:p>
      <w:pPr>
        <w:spacing w:after="0" w:line="240" w:lineRule="auto"/>
        <w:contextualSpacing/>
        <w:rPr>
          <w:rFonts w:cs="Calibri"/>
        </w:rPr>
      </w:pPr>
    </w:p>
    <w:p>
      <w:pPr>
        <w:spacing w:after="0" w:line="240" w:lineRule="auto"/>
        <w:contextualSpacing/>
      </w:pPr>
      <w:r>
        <w:t>A E2S Warning Signals apresenta sua nova linha de conjuntos de sinalização integrada no estande 1739 da OTC, de 04 a 07 de maio em Houston, EUA. Ao fornecer soluções pré-configuradas aos projetistas e instaladores de sistemas, a nova linha da E2S elimina o custo das operações de montagem no local, garantindo que as conexões e os cabos entre os dispositivos atendam aos requisitos relevantes de aprovação de áreas perigosas e assegurando que todos os sinais sejam plenamente testados e certificados.</w:t>
      </w:r>
    </w:p>
    <w:p>
      <w:pPr>
        <w:spacing w:after="0" w:line="240" w:lineRule="auto"/>
        <w:contextualSpacing/>
        <w:rPr>
          <w:rFonts w:cs="Calibri"/>
        </w:rPr>
      </w:pPr>
    </w:p>
    <w:p>
      <w:pPr>
        <w:spacing w:after="0" w:line="240" w:lineRule="auto"/>
        <w:contextualSpacing/>
        <w:rPr>
          <w:rFonts w:cs="Calibri"/>
        </w:rPr>
      </w:pPr>
      <w:r>
        <w:t xml:space="preserve">Os sinais aprovados para Classe I/II, Divisão 1 e Zona 1/21 das normas IECEx/ATE estão disponíveis em várias configurações de até sete dispositivos. Os sinalizadores de LED ou xênon de alta potência (ou uma mistura de tecnologias) das linhas de alumínio de uso marítimo D1x, resistente à corrosão em PRFV GNEx e aço inoxidável 316L STEx podem ser montados para fornecer uma solução para qualquer ambiente. Cada dispositivo é selado com uma bucha de linha, onde o feixe de cabo integral fornece um único ponto de instalação no último sinalizador ou opcionalmente em uma caixa de junção. As cores das lentes incluem âmbar, azul, transparente, verde, magenta, vermelho e amarelo. Para uma sinalização audiovisual completa, o conjunto também pode abranger uma sirene de alta potência composta por vários estágios com uma corneta sinalizadora tradicional ou com a inovadora corneta omnidirecional da E2S. </w:t>
      </w:r>
    </w:p>
    <w:p>
      <w:pPr>
        <w:spacing w:after="0" w:line="240" w:lineRule="auto"/>
        <w:contextualSpacing/>
        <w:rPr>
          <w:rFonts w:cs="Calibri"/>
        </w:rPr>
      </w:pPr>
    </w:p>
    <w:p>
      <w:pPr>
        <w:spacing w:after="0" w:line="240" w:lineRule="auto"/>
        <w:contextualSpacing/>
        <w:rPr>
          <w:rFonts w:cs="Calibri"/>
        </w:rPr>
      </w:pPr>
      <w:r>
        <w:t>Para aplicações em que o sistema se estende para áreas seguras ou aplicações industriais, a E2S está preparada para fornecer unidades semelhantes de múltiplas vias, como a sirene STA com combinação de estroboscópio ou LED e os conjuntos de sinalizador STB de xênon e LED.</w:t>
      </w:r>
    </w:p>
    <w:p>
      <w:pPr>
        <w:spacing w:after="0" w:line="240" w:lineRule="auto"/>
        <w:contextualSpacing/>
        <w:rPr>
          <w:rFonts w:cs="Calibri"/>
        </w:rPr>
      </w:pPr>
    </w:p>
    <w:p>
      <w:pPr>
        <w:spacing w:after="0" w:line="240" w:lineRule="auto"/>
        <w:contextualSpacing/>
        <w:rPr>
          <w:rFonts w:cs="Calibri"/>
        </w:rPr>
      </w:pPr>
      <w:r>
        <w:t xml:space="preserve">Também será apresentado no estande o novo </w:t>
      </w:r>
      <w:hyperlink r:id="rId9" w:history="1">
        <w:r>
          <w:rPr>
            <w:rStyle w:val="Hyperlink"/>
          </w:rPr>
          <w:t>sinalizador de LED D2xB1LD3</w:t>
        </w:r>
      </w:hyperlink>
      <w:r>
        <w:t xml:space="preserve"> para locais perigosos, que com a classificação de 82,1 cd é o dispositivo de sinalização visual de emergência mais inteligente, compatível com UL1971, já disponibilizado por qualquer fabricante, sendo adequado para uso em uma instalação de alarmes contra incêndio em modo público para áreas classificadas. Para obter uma sinalização audiovisual completa, o D2xB1LD3 pode ser associado ao dispositivo sonoro de alarme D2xS1 com uma saída audível de até 116 dB (A), 64 tons de alarme integrados e 4 estágios/canais remotamente selecionáveis para criar o </w:t>
      </w:r>
      <w:hyperlink r:id="rId10" w:history="1">
        <w:r>
          <w:rPr>
            <w:rStyle w:val="Hyperlink"/>
          </w:rPr>
          <w:t>sinal de combinação do D2xC2LD3</w:t>
        </w:r>
      </w:hyperlink>
      <w:r>
        <w:t>.</w:t>
      </w:r>
    </w:p>
    <w:p>
      <w:pPr>
        <w:tabs>
          <w:tab w:val="left" w:pos="851"/>
          <w:tab w:val="right" w:pos="9072"/>
        </w:tabs>
        <w:rPr>
          <w:rFonts w:cs="Calibri"/>
        </w:rPr>
      </w:pPr>
    </w:p>
    <w:p>
      <w:pPr>
        <w:tabs>
          <w:tab w:val="left" w:pos="851"/>
          <w:tab w:val="right" w:pos="9072"/>
        </w:tabs>
        <w:rPr>
          <w:rFonts w:cs="Calibri"/>
        </w:rPr>
      </w:pPr>
      <w:r>
        <w:t>*** Fim: corpo do texto com 368 palavras ***</w:t>
      </w:r>
    </w:p>
    <w:p>
      <w:pPr>
        <w:spacing w:after="0" w:line="240" w:lineRule="auto"/>
        <w:rPr>
          <w:rFonts w:cs="Arial"/>
          <w:b/>
          <w:bCs/>
        </w:rPr>
      </w:pPr>
      <w:r>
        <w:rPr>
          <w:rFonts w:cs="Arial"/>
          <w:b/>
          <w:bCs/>
        </w:rPr>
        <w:br w:type="page"/>
      </w:r>
    </w:p>
    <w:p>
      <w:pPr>
        <w:spacing w:after="0" w:line="240" w:lineRule="auto"/>
        <w:rPr>
          <w:rFonts w:cs="Arial"/>
          <w:b/>
        </w:rPr>
      </w:pPr>
      <w:r>
        <w:rPr>
          <w:rFonts w:cs="Arial"/>
          <w:b/>
          <w:bCs/>
        </w:rPr>
        <w:lastRenderedPageBreak/>
        <w:t>Notas para os editores</w:t>
      </w:r>
    </w:p>
    <w:p>
      <w:pPr>
        <w:rPr>
          <w:rFonts w:cs="Arial"/>
          <w:b/>
          <w:bCs/>
        </w:rPr>
      </w:pPr>
      <w:r>
        <w:rPr>
          <w:b/>
          <w:bCs/>
        </w:rPr>
        <w:t xml:space="preserve">Publicado em </w:t>
      </w:r>
      <w:r>
        <w:rPr>
          <w:rFonts w:cs="Arial"/>
          <w:b/>
          <w:bCs/>
        </w:rPr>
        <w:t>2 de março de 2020</w:t>
      </w:r>
    </w:p>
    <w:p>
      <w:pPr>
        <w:spacing w:after="0" w:line="240" w:lineRule="auto"/>
        <w:rPr>
          <w:rFonts w:cs="Arial"/>
        </w:rPr>
      </w:pPr>
    </w:p>
    <w:p>
      <w:pPr>
        <w:spacing w:after="0" w:line="240" w:lineRule="auto"/>
        <w:rPr>
          <w:rFonts w:cs="Arial"/>
        </w:rPr>
      </w:pPr>
      <w:r>
        <w:rPr>
          <w:rFonts w:cs="Arial"/>
        </w:rPr>
        <w:t>Para consultas, fale com:</w:t>
      </w:r>
      <w:r>
        <w:rPr>
          <w:rFonts w:cs="Arial"/>
        </w:rPr>
        <w:tab/>
      </w:r>
    </w:p>
    <w:p>
      <w:pPr>
        <w:spacing w:after="0" w:line="240" w:lineRule="auto"/>
        <w:rPr>
          <w:rFonts w:cs="Arial"/>
        </w:rPr>
      </w:pPr>
      <w:r>
        <w:rPr>
          <w:rFonts w:cs="Arial"/>
        </w:rPr>
        <w:t>Nigel May</w:t>
      </w:r>
      <w:r>
        <w:rPr>
          <w:rFonts w:cs="Arial"/>
        </w:rPr>
        <w:tab/>
      </w:r>
    </w:p>
    <w:p>
      <w:pPr>
        <w:spacing w:after="0" w:line="240" w:lineRule="auto"/>
        <w:rPr>
          <w:rFonts w:cs="Arial"/>
          <w:lang w:val="en-GB"/>
        </w:rPr>
      </w:pPr>
      <w:r>
        <w:rPr>
          <w:rFonts w:cs="Arial"/>
          <w:lang w:val="en-GB"/>
        </w:rPr>
        <w:t>Parkfield Communications Limited</w:t>
      </w:r>
    </w:p>
    <w:p>
      <w:pPr>
        <w:spacing w:after="0" w:line="240" w:lineRule="auto"/>
        <w:rPr>
          <w:rFonts w:cs="Arial"/>
          <w:lang w:val="en-GB"/>
        </w:rPr>
      </w:pPr>
      <w:r>
        <w:rPr>
          <w:rFonts w:cs="Arial"/>
          <w:lang w:val="en-GB"/>
        </w:rPr>
        <w:t>Parkfield House</w:t>
      </w:r>
    </w:p>
    <w:p>
      <w:pPr>
        <w:spacing w:after="0" w:line="240" w:lineRule="auto"/>
        <w:rPr>
          <w:rFonts w:cs="Arial"/>
          <w:lang w:val="en-GB"/>
        </w:rPr>
      </w:pPr>
      <w:r>
        <w:rPr>
          <w:rFonts w:cs="Arial"/>
          <w:lang w:val="en-GB"/>
        </w:rPr>
        <w:t>Damerham</w:t>
      </w:r>
    </w:p>
    <w:p>
      <w:pPr>
        <w:spacing w:after="0" w:line="240" w:lineRule="auto"/>
        <w:rPr>
          <w:rFonts w:cs="Arial"/>
        </w:rPr>
      </w:pPr>
      <w:r>
        <w:rPr>
          <w:rFonts w:cs="Arial"/>
        </w:rPr>
        <w:t>SP6 3HQ</w:t>
      </w:r>
    </w:p>
    <w:p>
      <w:pPr>
        <w:spacing w:after="0" w:line="240" w:lineRule="auto"/>
        <w:rPr>
          <w:rFonts w:cs="Arial"/>
        </w:rPr>
      </w:pPr>
      <w:r>
        <w:rPr>
          <w:rFonts w:cs="Arial"/>
        </w:rPr>
        <w:t>Grã-Bretanha</w:t>
      </w:r>
    </w:p>
    <w:p>
      <w:pPr>
        <w:spacing w:after="0" w:line="240" w:lineRule="auto"/>
        <w:rPr>
          <w:rFonts w:cs="Arial"/>
        </w:rPr>
      </w:pPr>
      <w:r>
        <w:rPr>
          <w:rFonts w:cs="Arial"/>
        </w:rPr>
        <w:t>Tel: + 44 (0)1725 518321</w:t>
      </w:r>
    </w:p>
    <w:p>
      <w:pPr>
        <w:spacing w:after="0" w:line="240" w:lineRule="auto"/>
        <w:rPr>
          <w:rFonts w:cs="Arial"/>
          <w:lang w:val="en-GB"/>
        </w:rPr>
      </w:pPr>
      <w:hyperlink r:id="rId11" w:history="1">
        <w:r>
          <w:rPr>
            <w:rStyle w:val="Hyperlink"/>
            <w:rFonts w:cs="Arial"/>
            <w:lang w:val="en-GB"/>
          </w:rPr>
          <w:t>nigel.may@parkfield.co.uk</w:t>
        </w:r>
      </w:hyperlink>
      <w:r>
        <w:rPr>
          <w:rFonts w:cs="Arial"/>
          <w:lang w:val="en-GB"/>
        </w:rPr>
        <w:t xml:space="preserve"> </w:t>
      </w:r>
    </w:p>
    <w:p>
      <w:pPr>
        <w:spacing w:after="0" w:line="240" w:lineRule="auto"/>
        <w:rPr>
          <w:rFonts w:cs="Arial"/>
          <w:lang w:val="en-GB"/>
        </w:rPr>
      </w:pPr>
      <w:hyperlink r:id="rId12" w:history="1">
        <w:r>
          <w:rPr>
            <w:rStyle w:val="Hyperlink"/>
            <w:rFonts w:cs="Arial"/>
            <w:lang w:val="en-GB"/>
          </w:rPr>
          <w:t>parkfield.co.uk</w:t>
        </w:r>
      </w:hyperlink>
      <w:r>
        <w:rPr>
          <w:rFonts w:cs="Arial"/>
          <w:lang w:val="en-GB"/>
        </w:rPr>
        <w:t xml:space="preserve"> </w:t>
      </w:r>
    </w:p>
    <w:p>
      <w:pPr>
        <w:spacing w:after="0" w:line="240" w:lineRule="auto"/>
        <w:rPr>
          <w:rFonts w:cs="Arial"/>
        </w:rPr>
      </w:pPr>
      <w:r>
        <w:rPr>
          <w:rFonts w:cs="Arial"/>
        </w:rPr>
        <w:br/>
        <w:t xml:space="preserve">A E2S é líder mundial na fabricação independente de sinalização. Com sede na região Oeste de Londres, Inglaterra, a empresa projeta e fabrica uma ampla variedade de produtos de sinalização para ambientes industriais e marítimos e áreas perigosas. Os produtos da E2S Produtos podem ser entregues em todo o mundo através de sua rede de distribuição. Detalhes dos distribuidores podem ser encontrados no site da empresa. Além disso, a E2S tem um centro de distribuição dedicado exclusivo em Houston, Texas, para distribuição local de produtos e atendimento técnico. </w:t>
      </w:r>
    </w:p>
    <w:p>
      <w:pPr>
        <w:spacing w:after="0" w:line="240" w:lineRule="auto"/>
        <w:rPr>
          <w:rFonts w:cs="Arial"/>
        </w:rPr>
      </w:pPr>
    </w:p>
    <w:p>
      <w:pPr>
        <w:widowControl w:val="0"/>
        <w:spacing w:after="0" w:line="240" w:lineRule="auto"/>
        <w:rPr>
          <w:rFonts w:eastAsia="Times New Roman" w:cstheme="minorHAnsi"/>
          <w:snapToGrid w:val="0"/>
          <w:lang w:val="en-US"/>
        </w:rPr>
      </w:pPr>
      <w:r>
        <w:rPr>
          <w:rFonts w:eastAsia="Times New Roman" w:cstheme="minorHAnsi"/>
          <w:snapToGrid w:val="0"/>
          <w:lang w:val="en-US"/>
        </w:rPr>
        <w:t>E2S Warning Signals</w:t>
      </w:r>
    </w:p>
    <w:p>
      <w:pPr>
        <w:widowControl w:val="0"/>
        <w:spacing w:after="0" w:line="240" w:lineRule="auto"/>
        <w:rPr>
          <w:rFonts w:eastAsia="Times New Roman" w:cstheme="minorHAnsi"/>
          <w:snapToGrid w:val="0"/>
          <w:lang w:val="en-US"/>
        </w:rPr>
      </w:pPr>
      <w:r>
        <w:rPr>
          <w:rFonts w:eastAsia="Times New Roman" w:cstheme="minorHAnsi"/>
          <w:snapToGrid w:val="0"/>
          <w:lang w:val="en-US"/>
        </w:rPr>
        <w:t>17633 Telge Road</w:t>
      </w:r>
    </w:p>
    <w:p>
      <w:pPr>
        <w:widowControl w:val="0"/>
        <w:spacing w:after="0" w:line="240" w:lineRule="auto"/>
        <w:rPr>
          <w:rFonts w:eastAsia="Times New Roman" w:cstheme="minorHAnsi"/>
          <w:snapToGrid w:val="0"/>
          <w:lang w:val="en-US"/>
        </w:rPr>
      </w:pPr>
      <w:r>
        <w:rPr>
          <w:rFonts w:eastAsia="Times New Roman" w:cstheme="minorHAnsi"/>
          <w:snapToGrid w:val="0"/>
          <w:lang w:val="en-US"/>
        </w:rPr>
        <w:t>Cypress, Houston</w:t>
      </w:r>
    </w:p>
    <w:p>
      <w:pPr>
        <w:widowControl w:val="0"/>
        <w:spacing w:after="0" w:line="240" w:lineRule="auto"/>
        <w:rPr>
          <w:rFonts w:eastAsia="Times New Roman" w:cstheme="minorHAnsi"/>
          <w:snapToGrid w:val="0"/>
        </w:rPr>
      </w:pPr>
      <w:r>
        <w:rPr>
          <w:rFonts w:eastAsia="Times New Roman" w:cstheme="minorHAnsi"/>
          <w:snapToGrid w:val="0"/>
        </w:rPr>
        <w:t>TX 77086</w:t>
      </w:r>
    </w:p>
    <w:p>
      <w:pPr>
        <w:widowControl w:val="0"/>
        <w:spacing w:after="0" w:line="240" w:lineRule="auto"/>
        <w:rPr>
          <w:rFonts w:eastAsia="Times New Roman" w:cstheme="minorHAnsi"/>
          <w:snapToGrid w:val="0"/>
        </w:rPr>
      </w:pPr>
      <w:r>
        <w:rPr>
          <w:rFonts w:eastAsia="Times New Roman" w:cstheme="minorHAnsi"/>
          <w:snapToGrid w:val="0"/>
        </w:rPr>
        <w:t>Estados Unidos da America</w:t>
      </w:r>
    </w:p>
    <w:p>
      <w:pPr>
        <w:widowControl w:val="0"/>
        <w:spacing w:after="0" w:line="240" w:lineRule="auto"/>
        <w:rPr>
          <w:rFonts w:eastAsia="Times New Roman" w:cstheme="minorHAnsi"/>
          <w:snapToGrid w:val="0"/>
        </w:rPr>
      </w:pPr>
      <w:r>
        <w:rPr>
          <w:rFonts w:eastAsia="Times New Roman" w:cstheme="minorHAnsi"/>
          <w:snapToGrid w:val="0"/>
        </w:rPr>
        <w:t>Tel: + 1 281-377-4401</w:t>
      </w:r>
    </w:p>
    <w:p>
      <w:pPr>
        <w:widowControl w:val="0"/>
        <w:spacing w:after="0" w:line="240" w:lineRule="auto"/>
        <w:rPr>
          <w:rFonts w:eastAsia="Times New Roman" w:cstheme="minorHAnsi"/>
          <w:snapToGrid w:val="0"/>
        </w:rPr>
      </w:pPr>
      <w:r>
        <w:rPr>
          <w:rFonts w:eastAsia="Times New Roman" w:cstheme="minorHAnsi"/>
          <w:snapToGrid w:val="0"/>
        </w:rPr>
        <w:t>Fax: + 1 281-440-4040</w:t>
      </w:r>
    </w:p>
    <w:p>
      <w:pPr>
        <w:widowControl w:val="0"/>
        <w:spacing w:after="0" w:line="240" w:lineRule="auto"/>
        <w:rPr>
          <w:rFonts w:eastAsia="Times New Roman" w:cstheme="minorHAnsi"/>
          <w:snapToGrid w:val="0"/>
        </w:rPr>
      </w:pPr>
      <w:r>
        <w:rPr>
          <w:rFonts w:eastAsia="Times New Roman" w:cstheme="minorHAnsi"/>
          <w:snapToGrid w:val="0"/>
        </w:rPr>
        <w:t xml:space="preserve">Mail: </w:t>
      </w:r>
      <w:hyperlink r:id="rId13" w:history="1">
        <w:r>
          <w:rPr>
            <w:rFonts w:eastAsia="Times New Roman" w:cstheme="minorHAnsi"/>
            <w:snapToGrid w:val="0"/>
            <w:color w:val="0000FF"/>
            <w:u w:val="single"/>
          </w:rPr>
          <w:t>sales@e2s.com</w:t>
        </w:r>
      </w:hyperlink>
      <w:r>
        <w:rPr>
          <w:rFonts w:eastAsia="Times New Roman" w:cstheme="minorHAnsi"/>
          <w:snapToGrid w:val="0"/>
        </w:rPr>
        <w:t xml:space="preserve"> </w:t>
      </w:r>
    </w:p>
    <w:p>
      <w:pPr>
        <w:widowControl w:val="0"/>
        <w:spacing w:after="0" w:line="240" w:lineRule="auto"/>
        <w:rPr>
          <w:rFonts w:eastAsia="Times New Roman" w:cstheme="minorHAnsi"/>
          <w:snapToGrid w:val="0"/>
          <w:lang w:val="en-GB"/>
        </w:rPr>
      </w:pPr>
      <w:r>
        <w:rPr>
          <w:rFonts w:eastAsia="Times New Roman" w:cstheme="minorHAnsi"/>
          <w:snapToGrid w:val="0"/>
          <w:lang w:val="en-GB"/>
        </w:rPr>
        <w:t xml:space="preserve">Web: </w:t>
      </w:r>
      <w:hyperlink r:id="rId14" w:history="1">
        <w:r>
          <w:rPr>
            <w:rFonts w:eastAsia="Times New Roman" w:cstheme="minorHAnsi"/>
            <w:snapToGrid w:val="0"/>
            <w:color w:val="0000FF"/>
            <w:u w:val="single"/>
            <w:lang w:val="en-GB"/>
          </w:rPr>
          <w:t>www.e2s.com</w:t>
        </w:r>
      </w:hyperlink>
      <w:r>
        <w:rPr>
          <w:rFonts w:eastAsia="Times New Roman" w:cstheme="minorHAnsi"/>
          <w:snapToGrid w:val="0"/>
          <w:lang w:val="en-GB"/>
        </w:rPr>
        <w:t xml:space="preserve"> </w:t>
      </w:r>
    </w:p>
    <w:p>
      <w:pPr>
        <w:spacing w:after="0" w:line="240" w:lineRule="auto"/>
        <w:rPr>
          <w:rFonts w:cs="Arial"/>
          <w:lang w:val="en-GB"/>
        </w:rPr>
      </w:pPr>
    </w:p>
    <w:p>
      <w:pPr>
        <w:spacing w:after="0" w:line="240" w:lineRule="auto"/>
        <w:rPr>
          <w:rFonts w:cs="Arial"/>
          <w:lang w:val="en-GB"/>
        </w:rPr>
      </w:pPr>
    </w:p>
    <w:p>
      <w:pPr>
        <w:spacing w:after="0" w:line="240" w:lineRule="auto"/>
        <w:rPr>
          <w:rFonts w:cs="Arial"/>
          <w:lang w:val="en-GB"/>
        </w:rPr>
      </w:pPr>
      <w:r>
        <w:rPr>
          <w:rFonts w:cs="Arial"/>
          <w:lang w:val="en-GB"/>
        </w:rPr>
        <w:t>E2S Warning Signals</w:t>
      </w:r>
    </w:p>
    <w:p>
      <w:pPr>
        <w:spacing w:after="0" w:line="240" w:lineRule="auto"/>
        <w:rPr>
          <w:rFonts w:cs="Arial"/>
          <w:lang w:val="en-GB"/>
        </w:rPr>
      </w:pPr>
      <w:r>
        <w:rPr>
          <w:rFonts w:cs="Arial"/>
          <w:lang w:val="en-GB"/>
        </w:rPr>
        <w:t>Impress House</w:t>
      </w:r>
    </w:p>
    <w:p>
      <w:pPr>
        <w:spacing w:after="0" w:line="240" w:lineRule="auto"/>
        <w:rPr>
          <w:rFonts w:cs="Arial"/>
          <w:lang w:val="en-GB"/>
        </w:rPr>
      </w:pPr>
      <w:r>
        <w:rPr>
          <w:rFonts w:cs="Arial"/>
          <w:lang w:val="en-GB"/>
        </w:rPr>
        <w:t>Mansell Road</w:t>
      </w:r>
    </w:p>
    <w:p>
      <w:pPr>
        <w:spacing w:after="0" w:line="240" w:lineRule="auto"/>
        <w:rPr>
          <w:rFonts w:cs="Arial"/>
          <w:lang w:val="en-GB"/>
        </w:rPr>
      </w:pPr>
      <w:r>
        <w:rPr>
          <w:rFonts w:cs="Arial"/>
          <w:lang w:val="en-GB"/>
        </w:rPr>
        <w:t>Londres</w:t>
      </w:r>
    </w:p>
    <w:p>
      <w:pPr>
        <w:spacing w:after="0" w:line="240" w:lineRule="auto"/>
        <w:rPr>
          <w:rFonts w:cs="Arial"/>
          <w:lang w:val="en-GB"/>
        </w:rPr>
      </w:pPr>
      <w:r>
        <w:rPr>
          <w:rFonts w:cs="Arial"/>
          <w:lang w:val="en-GB"/>
        </w:rPr>
        <w:t>W3 7QH</w:t>
      </w:r>
    </w:p>
    <w:p>
      <w:pPr>
        <w:spacing w:after="0" w:line="240" w:lineRule="auto"/>
        <w:rPr>
          <w:rFonts w:cs="Arial"/>
        </w:rPr>
      </w:pPr>
      <w:r>
        <w:rPr>
          <w:rFonts w:cs="Arial"/>
        </w:rPr>
        <w:t>Grã-Bretanha</w:t>
      </w:r>
    </w:p>
    <w:p>
      <w:pPr>
        <w:spacing w:after="0" w:line="240" w:lineRule="auto"/>
        <w:rPr>
          <w:rFonts w:cs="Arial"/>
        </w:rPr>
      </w:pPr>
      <w:r>
        <w:rPr>
          <w:rFonts w:cs="Arial"/>
        </w:rPr>
        <w:t>Tel: + 44 (0)20 8743 8880</w:t>
      </w:r>
    </w:p>
    <w:p>
      <w:pPr>
        <w:spacing w:after="0" w:line="240" w:lineRule="auto"/>
        <w:rPr>
          <w:rFonts w:cs="Arial"/>
        </w:rPr>
      </w:pPr>
      <w:r>
        <w:rPr>
          <w:rFonts w:cs="Arial"/>
        </w:rPr>
        <w:t>Fax: + 44 (0)20 8740 4200</w:t>
      </w:r>
    </w:p>
    <w:p>
      <w:pPr>
        <w:spacing w:after="0" w:line="240" w:lineRule="auto"/>
        <w:rPr>
          <w:rFonts w:cs="Arial"/>
        </w:rPr>
      </w:pPr>
      <w:hyperlink r:id="rId15" w:history="1">
        <w:r>
          <w:rPr>
            <w:rStyle w:val="Hyperlink"/>
            <w:rFonts w:cs="Arial"/>
          </w:rPr>
          <w:t>sales@e2s.com</w:t>
        </w:r>
      </w:hyperlink>
      <w:r>
        <w:rPr>
          <w:rFonts w:cs="Arial"/>
        </w:rPr>
        <w:t xml:space="preserve"> </w:t>
      </w:r>
    </w:p>
    <w:p>
      <w:pPr>
        <w:tabs>
          <w:tab w:val="left" w:pos="851"/>
          <w:tab w:val="right" w:pos="9072"/>
        </w:tabs>
        <w:spacing w:after="0" w:line="240" w:lineRule="auto"/>
        <w:rPr>
          <w:lang w:val="fr-FR"/>
        </w:rPr>
      </w:pPr>
      <w:hyperlink r:id="rId16" w:history="1">
        <w:r>
          <w:rPr>
            <w:rStyle w:val="Hyperlink"/>
            <w:rFonts w:cs="Arial"/>
            <w:lang w:val="fr-FR"/>
          </w:rPr>
          <w:t>e2s.com</w:t>
        </w:r>
      </w:hyperlink>
    </w:p>
    <w:p>
      <w:pPr>
        <w:tabs>
          <w:tab w:val="left" w:pos="851"/>
          <w:tab w:val="right" w:pos="9072"/>
        </w:tabs>
        <w:rPr>
          <w:lang w:val="fr-FR"/>
        </w:rPr>
      </w:pPr>
    </w:p>
    <w:p>
      <w:pPr>
        <w:spacing w:after="0" w:line="240" w:lineRule="auto"/>
        <w:contextualSpacing/>
      </w:pPr>
    </w:p>
    <w:sectPr>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isplayBackgroundShape/>
  <w:printPostScriptOverText/>
  <w:defaultTabStop w:val="57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napToGrid w:val="0"/>
        <w:sz w:val="22"/>
        <w:lang w:val="pt-B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napToGrid/>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heme="minorHAnsi" w:eastAsiaTheme="minorHAnsi" w:hAnsiTheme="minorHAnsi" w:cstheme="minorBidi"/>
      <w:snapToGrid/>
      <w:szCs w:val="22"/>
      <w:lang w:eastAsia="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heme="minorHAnsi" w:eastAsiaTheme="minorHAnsi" w:hAnsiTheme="minorHAnsi" w:cstheme="minorBidi"/>
      <w:snapToGrid/>
      <w:szCs w:val="22"/>
      <w:lang w:eastAsia="en-US"/>
    </w:rPr>
  </w:style>
  <w:style w:type="character" w:customStyle="1" w:styleId="InternetLink">
    <w:name w:val="Internet 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e2s/" TargetMode="External"/><Relationship Id="rId13" Type="http://schemas.openxmlformats.org/officeDocument/2006/relationships/hyperlink" Target="mailto:sales@e2s.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kfield.co.uk/e2s/otc-br.docx" TargetMode="External"/><Relationship Id="rId12" Type="http://schemas.openxmlformats.org/officeDocument/2006/relationships/hyperlink" Target="http://www.parkfield.co.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e2s.com" TargetMode="External"/><Relationship Id="rId1" Type="http://schemas.openxmlformats.org/officeDocument/2006/relationships/styles" Target="styles.xml"/><Relationship Id="rId6" Type="http://schemas.openxmlformats.org/officeDocument/2006/relationships/hyperlink" Target="http://www.parkfield.co.uk/e2s/otc20-print.jpg" TargetMode="External"/><Relationship Id="rId11" Type="http://schemas.openxmlformats.org/officeDocument/2006/relationships/hyperlink" Target="mailto:nigel.may@parkfield.co.uk" TargetMode="External"/><Relationship Id="rId5" Type="http://schemas.openxmlformats.org/officeDocument/2006/relationships/endnotes" Target="endnotes.xml"/><Relationship Id="rId15" Type="http://schemas.openxmlformats.org/officeDocument/2006/relationships/hyperlink" Target="mailto:sales@e2s.com" TargetMode="External"/><Relationship Id="rId10" Type="http://schemas.openxmlformats.org/officeDocument/2006/relationships/hyperlink" Target="https://www.e2s.com/product/13417" TargetMode="External"/><Relationship Id="rId4" Type="http://schemas.openxmlformats.org/officeDocument/2006/relationships/footnotes" Target="footnotes.xml"/><Relationship Id="rId9" Type="http://schemas.openxmlformats.org/officeDocument/2006/relationships/hyperlink" Target="https://www.e2s.com/product/13415" TargetMode="External"/><Relationship Id="rId14" Type="http://schemas.openxmlformats.org/officeDocument/2006/relationships/hyperlink" Target="http://www.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2020-03-02T14:18:00Z</dcterms:created>
  <dcterms:modified xsi:type="dcterms:W3CDTF">2020-03-02T14:33:00Z</dcterms:modified>
</cp:coreProperties>
</file>