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Bdr>
          <w:top w:val="nil"/>
          <w:left w:val="nil"/>
          <w:bottom w:val="nil"/>
          <w:right w:val="nil"/>
        </w:pBdr>
        <w:jc w:val="left"/>
      </w:pPr>
      <w:r>
        <w:rPr>
          <w:rFonts w:asciiTheme="minorHAnsi" w:hAnsiTheme="minorHAnsi" w:cs="Arial"/>
          <w:b w:val="0"/>
          <w:color w:val="C00000"/>
          <w:sz w:val="52"/>
          <w:szCs w:val="52"/>
        </w:rPr>
        <w:t>Presseinformation</w:t>
      </w:r>
    </w:p>
    <w:p>
      <w:pPr>
        <w:pStyle w:val="Title"/>
        <w:pBdr>
          <w:top w:val="nil"/>
          <w:left w:val="nil"/>
          <w:bottom w:val="nil"/>
          <w:right w:val="nil"/>
        </w:pBdr>
        <w:jc w:val="left"/>
        <w:rPr>
          <w:rFonts w:asciiTheme="minorHAnsi" w:hAnsiTheme="minorHAnsi" w:cstheme="minorHAnsi"/>
          <w:b w:val="0"/>
          <w:szCs w:val="22"/>
        </w:rPr>
      </w:pPr>
    </w:p>
    <w:p>
      <w:pPr>
        <w:pStyle w:val="Title"/>
        <w:pBdr>
          <w:top w:val="nil"/>
          <w:left w:val="nil"/>
          <w:bottom w:val="nil"/>
          <w:right w:val="nil"/>
        </w:pBdr>
        <w:jc w:val="left"/>
        <w:rPr>
          <w:rFonts w:asciiTheme="minorHAnsi" w:hAnsiTheme="minorHAnsi" w:cstheme="minorHAnsi"/>
          <w:b w:val="0"/>
          <w:bCs w:val="0"/>
          <w:szCs w:val="22"/>
        </w:rPr>
      </w:pPr>
      <w:r>
        <w:rPr>
          <w:rFonts w:asciiTheme="minorHAnsi" w:hAnsiTheme="minorHAnsi" w:cstheme="minorHAnsi"/>
          <w:b w:val="0"/>
          <w:szCs w:val="22"/>
        </w:rPr>
        <w:t>Zum Downloaden eines Bildes in Druckqualität</w:t>
      </w:r>
      <w:r>
        <w:rPr>
          <w:rFonts w:asciiTheme="minorHAnsi" w:hAnsiTheme="minorHAnsi" w:cstheme="minorHAnsi"/>
          <w:b w:val="0"/>
          <w:bCs w:val="0"/>
          <w:szCs w:val="22"/>
        </w:rPr>
        <w:t xml:space="preserve"> 300 dpi,</w:t>
      </w:r>
    </w:p>
    <w:p>
      <w:pPr>
        <w:pStyle w:val="Title"/>
        <w:pBdr>
          <w:top w:val="nil"/>
          <w:left w:val="nil"/>
          <w:bottom w:val="nil"/>
          <w:right w:val="nil"/>
        </w:pBdr>
        <w:jc w:val="left"/>
      </w:pPr>
      <w:r>
        <w:rPr>
          <w:rFonts w:asciiTheme="minorHAnsi" w:hAnsiTheme="minorHAnsi" w:cstheme="minorHAnsi"/>
          <w:b w:val="0"/>
          <w:bCs w:val="0"/>
          <w:szCs w:val="22"/>
        </w:rPr>
        <w:t xml:space="preserve">gehen Sie zu </w:t>
      </w:r>
      <w:hyperlink r:id="rId4">
        <w:r>
          <w:rPr>
            <w:rStyle w:val="InternetLink"/>
            <w:rFonts w:asciiTheme="minorHAnsi" w:hAnsiTheme="minorHAnsi" w:cstheme="minorHAnsi"/>
            <w:b w:val="0"/>
            <w:bCs w:val="0"/>
            <w:szCs w:val="22"/>
          </w:rPr>
          <w:t>parkfield.co.uk/e2s/otc20-print.jpg</w:t>
        </w:r>
      </w:hyperlink>
    </w:p>
    <w:p>
      <w:pPr>
        <w:pStyle w:val="PlainText"/>
        <w:rPr>
          <w:rFonts w:cstheme="minorHAnsi"/>
          <w:szCs w:val="22"/>
        </w:rPr>
      </w:pPr>
    </w:p>
    <w:p>
      <w:pPr>
        <w:pStyle w:val="PlainText"/>
      </w:pPr>
      <w:r>
        <w:rPr>
          <w:rFonts w:cstheme="minorHAnsi"/>
          <w:szCs w:val="22"/>
        </w:rPr>
        <w:t xml:space="preserve">Der Text steht Ihnen unter </w:t>
      </w:r>
      <w:hyperlink r:id="rId5">
        <w:r>
          <w:rPr>
            <w:rStyle w:val="InternetLink"/>
            <w:rFonts w:cstheme="minorHAnsi"/>
            <w:szCs w:val="22"/>
          </w:rPr>
          <w:t>parkfield.co.uk/e2s/otc20-de.docx</w:t>
        </w:r>
      </w:hyperlink>
      <w:r>
        <w:rPr>
          <w:rFonts w:cstheme="minorHAnsi"/>
          <w:szCs w:val="22"/>
        </w:rPr>
        <w:t xml:space="preserve"> als Word-Datei zum Download bereit.</w:t>
      </w:r>
    </w:p>
    <w:p>
      <w:pPr>
        <w:pStyle w:val="Title"/>
        <w:pBdr>
          <w:top w:val="nil"/>
          <w:left w:val="nil"/>
          <w:bottom w:val="nil"/>
          <w:right w:val="nil"/>
        </w:pBdr>
        <w:jc w:val="left"/>
        <w:rPr>
          <w:rStyle w:val="hps"/>
          <w:rFonts w:asciiTheme="minorHAnsi" w:hAnsiTheme="minorHAnsi" w:cstheme="minorHAnsi"/>
          <w:b w:val="0"/>
          <w:szCs w:val="22"/>
        </w:rPr>
      </w:pPr>
    </w:p>
    <w:p>
      <w:pPr>
        <w:pStyle w:val="Title"/>
        <w:pBdr>
          <w:top w:val="nil"/>
          <w:left w:val="nil"/>
          <w:bottom w:val="nil"/>
          <w:right w:val="nil"/>
        </w:pBdr>
        <w:jc w:val="left"/>
      </w:pPr>
      <w:r>
        <w:rPr>
          <w:rStyle w:val="hps"/>
          <w:rFonts w:asciiTheme="minorHAnsi" w:hAnsiTheme="minorHAnsi" w:cstheme="minorHAnsi"/>
          <w:b w:val="0"/>
          <w:szCs w:val="22"/>
        </w:rPr>
        <w:t>Alle</w:t>
      </w:r>
      <w:r>
        <w:rPr>
          <w:rStyle w:val="shorttext"/>
          <w:rFonts w:asciiTheme="minorHAnsi" w:hAnsiTheme="minorHAnsi" w:cstheme="minorHAnsi"/>
          <w:b w:val="0"/>
          <w:szCs w:val="22"/>
        </w:rPr>
        <w:t xml:space="preserve"> </w:t>
      </w:r>
      <w:r>
        <w:rPr>
          <w:rStyle w:val="hps"/>
          <w:rFonts w:asciiTheme="minorHAnsi" w:hAnsiTheme="minorHAnsi" w:cstheme="minorHAnsi"/>
          <w:b w:val="0"/>
          <w:szCs w:val="22"/>
        </w:rPr>
        <w:t>E2S</w:t>
      </w:r>
      <w:r>
        <w:rPr>
          <w:rStyle w:val="shorttext"/>
          <w:rFonts w:asciiTheme="minorHAnsi" w:hAnsiTheme="minorHAnsi" w:cstheme="minorHAnsi"/>
          <w:b w:val="0"/>
          <w:szCs w:val="22"/>
        </w:rPr>
        <w:t xml:space="preserve"> </w:t>
      </w:r>
      <w:r>
        <w:rPr>
          <w:rFonts w:asciiTheme="minorHAnsi" w:hAnsiTheme="minorHAnsi" w:cstheme="minorHAnsi"/>
          <w:b w:val="0"/>
          <w:szCs w:val="22"/>
        </w:rPr>
        <w:t xml:space="preserve">Presseinformation </w:t>
      </w:r>
      <w:r>
        <w:rPr>
          <w:rStyle w:val="hps"/>
          <w:rFonts w:asciiTheme="minorHAnsi" w:hAnsiTheme="minorHAnsi" w:cstheme="minorHAnsi"/>
          <w:b w:val="0"/>
          <w:szCs w:val="22"/>
        </w:rPr>
        <w:t>zu sehen,</w:t>
      </w:r>
      <w:r>
        <w:rPr>
          <w:rStyle w:val="shorttext"/>
          <w:rFonts w:asciiTheme="minorHAnsi" w:hAnsiTheme="minorHAnsi" w:cstheme="minorHAnsi"/>
          <w:b w:val="0"/>
          <w:szCs w:val="22"/>
        </w:rPr>
        <w:t xml:space="preserve"> </w:t>
      </w:r>
      <w:r>
        <w:rPr>
          <w:rStyle w:val="hps"/>
          <w:rFonts w:asciiTheme="minorHAnsi" w:hAnsiTheme="minorHAnsi" w:cstheme="minorHAnsi"/>
          <w:b w:val="0"/>
          <w:szCs w:val="22"/>
        </w:rPr>
        <w:t xml:space="preserve">zu gehen </w:t>
      </w:r>
      <w:hyperlink r:id="rId6">
        <w:r>
          <w:rPr>
            <w:rStyle w:val="InternetLink"/>
            <w:rFonts w:asciiTheme="minorHAnsi" w:hAnsiTheme="minorHAnsi" w:cstheme="minorHAnsi"/>
            <w:b w:val="0"/>
            <w:szCs w:val="22"/>
          </w:rPr>
          <w:t>parkfield.co.uk/e2s/</w:t>
        </w:r>
      </w:hyperlink>
    </w:p>
    <w:p>
      <w:pPr>
        <w:tabs>
          <w:tab w:val="left" w:pos="851"/>
          <w:tab w:val="right" w:pos="9072"/>
        </w:tabs>
        <w:spacing w:after="0" w:line="240" w:lineRule="auto"/>
      </w:pPr>
    </w:p>
    <w:p>
      <w:pPr>
        <w:spacing w:after="0" w:line="240" w:lineRule="auto"/>
        <w:contextualSpacing/>
      </w:pPr>
      <w:r>
        <w:rPr>
          <w:b/>
        </w:rPr>
        <w:t>E2S stellt integrierte Warngeräte für Ex-Bereiche auf der OTC 2020 vor</w:t>
      </w:r>
    </w:p>
    <w:p>
      <w:pPr>
        <w:spacing w:after="0" w:line="240" w:lineRule="auto"/>
        <w:contextualSpacing/>
        <w:rPr>
          <w:rFonts w:cs="Calibri"/>
        </w:rPr>
      </w:pPr>
    </w:p>
    <w:p>
      <w:pPr>
        <w:spacing w:after="0" w:line="240" w:lineRule="auto"/>
        <w:contextualSpacing/>
      </w:pPr>
      <w:r>
        <w:t>E2S Warning Signals stellt ihr neues Sortiment an integrierten Warngeräten auf Stand 1739 auf der OTC vom 4. bis 7. Mai in Houston, USA vor. Das neue Sortiment von E2S, das Systemplanern und Installateuren vorkonfigurierte Lösungen bietet, eliminiert die Kosten für Montagearbeiten vor Ort und garantiert gleichzeitig, dass die Anschlüsse und Verkabelung zwischen den Geräten den relevanten Anforderungen der Zulassung für Ex-Bereiche entsprechen und dass alle Signale umfassend geprüft und zertifiziert sind.</w:t>
      </w:r>
    </w:p>
    <w:p>
      <w:pPr>
        <w:spacing w:after="0" w:line="240" w:lineRule="auto"/>
        <w:contextualSpacing/>
        <w:rPr>
          <w:rFonts w:cs="Calibri"/>
        </w:rPr>
      </w:pPr>
    </w:p>
    <w:p>
      <w:pPr>
        <w:spacing w:after="0" w:line="240" w:lineRule="auto"/>
        <w:contextualSpacing/>
        <w:rPr>
          <w:rFonts w:cs="Calibri"/>
        </w:rPr>
      </w:pPr>
      <w:r>
        <w:t xml:space="preserve">Entsprechend Klasse I/II und IECEx/ATEX Zone 1/21 zugelassene Warngeräte sind in vielen Konfigurationen mit bis zu sieben Geräten lieferbar.  Hochleistungs-LED- und Xenon-Signalleuchten (oder eine Mischung aus beiden) der Produktreihe D1x aus meerwasserbeständigem Aluminium, GNEx aus korrosionsfestem GFK und STEx 316L aus Edelstahl können zu einer Lösung für jede Umgebung zusammengestellt werden. Jedes Gerät ist mit einer Leitungsdurchführung versiegelt und der integrierte Kabelstrang bietet einen einzigen Installationspunkt entweder in der letzten Signalleuchte oder optional in einem Anschlusskasten. Als Farben für die Linse sind Gelb, Blau, Transparent, Grün, Magenta, Rot und Gelb erhältlich. Für einem vollständigen audiovisuellen Alarm kann das Gerät auch einen mehrstufigen akustischen Hochleistungssignalgeber mit traditionellem Trichterschallgeber oder dem innovativen omnidirektionalen E2S-Schallgeber enthalten. </w:t>
      </w:r>
    </w:p>
    <w:p>
      <w:pPr>
        <w:spacing w:after="0" w:line="240" w:lineRule="auto"/>
        <w:contextualSpacing/>
        <w:rPr>
          <w:rFonts w:cs="Calibri"/>
        </w:rPr>
      </w:pPr>
    </w:p>
    <w:p>
      <w:pPr>
        <w:spacing w:after="0" w:line="240" w:lineRule="auto"/>
        <w:contextualSpacing/>
        <w:rPr>
          <w:rFonts w:cs="Calibri"/>
        </w:rPr>
      </w:pPr>
      <w:r>
        <w:t>Für Einsätze, in denen das System in sichere Bereiche übergreift, oder für Industrieeinsätze kann E2S ähnliche Kombinationseinheiten, wie die Alarmhupe STA kombiniert mit Blitzlicht oder LED bzw. die Xenon- und LED-Signalleuchte STB, bieten.</w:t>
      </w:r>
    </w:p>
    <w:p>
      <w:pPr>
        <w:spacing w:after="0" w:line="240" w:lineRule="auto"/>
        <w:contextualSpacing/>
        <w:rPr>
          <w:rFonts w:cs="Calibri"/>
        </w:rPr>
      </w:pPr>
    </w:p>
    <w:p>
      <w:pPr>
        <w:spacing w:after="0" w:line="240" w:lineRule="auto"/>
        <w:contextualSpacing/>
        <w:rPr>
          <w:rFonts w:cs="Calibri"/>
        </w:rPr>
      </w:pPr>
      <w:r>
        <w:t xml:space="preserve">Auf dem Stand wird außerdem die neue </w:t>
      </w:r>
      <w:hyperlink r:id="rId7" w:history="1">
        <w:r>
          <w:rPr>
            <w:rStyle w:val="Hyperlink"/>
          </w:rPr>
          <w:t>LED-Signalleuchte D2xB1LD3</w:t>
        </w:r>
      </w:hyperlink>
      <w:r>
        <w:t xml:space="preserve"> für Ex-Bereiche vorgestellt, die mit 82,1cd das hellste UL1971 entsprechende optische Notsignalgerät auf dem Markt für den Einsatz  in einer öffentlichen Feueralarminstallation in Ex-Bereichen ist. Für ein vollständiges audiovisuelles Warnsystem kann die D2xB1LD3 mit einer akustischen Alarmhupe D2xS1 mit einem Signalton von bis zu 116 dB(A) mit 64 Alarmtönen und 4 fernsteuerbaren Stufen/Kanälen zum </w:t>
      </w:r>
      <w:hyperlink r:id="rId8" w:history="1">
        <w:r>
          <w:rPr>
            <w:rStyle w:val="Hyperlink"/>
          </w:rPr>
          <w:t>Kombinationssignal D2xC2LD3</w:t>
        </w:r>
      </w:hyperlink>
      <w:r>
        <w:t xml:space="preserve">  kombiniert werden.</w:t>
      </w:r>
    </w:p>
    <w:p>
      <w:pPr>
        <w:spacing w:after="0" w:line="240" w:lineRule="auto"/>
        <w:contextualSpacing/>
        <w:rPr>
          <w:rFonts w:cs="Calibri"/>
        </w:rPr>
      </w:pPr>
    </w:p>
    <w:p>
      <w:pPr>
        <w:tabs>
          <w:tab w:val="left" w:pos="851"/>
          <w:tab w:val="right" w:pos="9072"/>
        </w:tabs>
      </w:pPr>
      <w:r>
        <w:t>*** Ende: Textkörper 285 Wörter ***</w:t>
      </w:r>
    </w:p>
    <w:p>
      <w:pPr>
        <w:spacing w:after="0" w:line="240" w:lineRule="auto"/>
        <w:rPr>
          <w:rFonts w:cs="Arial"/>
          <w:b/>
          <w:lang w:eastAsia="en-GB"/>
        </w:rPr>
      </w:pPr>
      <w:r>
        <w:rPr>
          <w:rFonts w:cs="Arial"/>
          <w:b/>
          <w:lang w:eastAsia="en-GB"/>
        </w:rPr>
        <w:br w:type="page"/>
      </w:r>
    </w:p>
    <w:p>
      <w:pPr>
        <w:tabs>
          <w:tab w:val="left" w:pos="851"/>
          <w:tab w:val="right" w:pos="9072"/>
        </w:tabs>
        <w:rPr>
          <w:rFonts w:cs="Calibri"/>
          <w:b/>
          <w:bCs/>
        </w:rPr>
      </w:pPr>
      <w:bookmarkStart w:id="0" w:name="_GoBack"/>
      <w:bookmarkEnd w:id="0"/>
      <w:r>
        <w:rPr>
          <w:rFonts w:cs="Arial"/>
          <w:b/>
          <w:lang w:eastAsia="en-GB"/>
        </w:rPr>
        <w:lastRenderedPageBreak/>
        <w:t>Hinweise an die Redaktion:</w:t>
      </w:r>
      <w:r>
        <w:rPr>
          <w:rFonts w:cs="Arial"/>
          <w:b/>
          <w:lang w:eastAsia="en-GB"/>
        </w:rPr>
        <w:br/>
      </w:r>
      <w:r>
        <w:rPr>
          <w:b/>
          <w:bCs/>
        </w:rPr>
        <w:t xml:space="preserve">Veröffentlicht am </w:t>
      </w:r>
      <w:r>
        <w:rPr>
          <w:b/>
          <w:bCs/>
        </w:rPr>
        <w:t>2. März 2020</w:t>
      </w:r>
    </w:p>
    <w:p>
      <w:pPr>
        <w:spacing w:after="0" w:line="240" w:lineRule="auto"/>
        <w:rPr>
          <w:rFonts w:cs="Arial"/>
          <w:lang w:eastAsia="en-GB"/>
        </w:rPr>
      </w:pPr>
      <w:r>
        <w:rPr>
          <w:rFonts w:cs="Arial"/>
          <w:lang w:eastAsia="en-GB"/>
        </w:rPr>
        <w:t>Im Falle weiterer Rückfragen kontaktieren Sie bitte:</w:t>
      </w:r>
    </w:p>
    <w:p>
      <w:pPr>
        <w:spacing w:after="0" w:line="240" w:lineRule="auto"/>
        <w:rPr>
          <w:rFonts w:cs="Arial"/>
          <w:lang w:val="en-GB" w:eastAsia="en-GB"/>
        </w:rPr>
      </w:pPr>
    </w:p>
    <w:p>
      <w:pPr>
        <w:spacing w:after="0" w:line="240" w:lineRule="auto"/>
        <w:rPr>
          <w:rFonts w:cs="Arial"/>
          <w:lang w:val="en-GB" w:eastAsia="en-GB"/>
        </w:rPr>
      </w:pPr>
      <w:r>
        <w:rPr>
          <w:rFonts w:cs="Arial"/>
          <w:lang w:val="en-GB" w:eastAsia="en-GB"/>
        </w:rPr>
        <w:t>Nigel May</w:t>
      </w:r>
    </w:p>
    <w:p>
      <w:pPr>
        <w:spacing w:after="0" w:line="240" w:lineRule="auto"/>
        <w:rPr>
          <w:rFonts w:cs="Arial"/>
          <w:lang w:val="en-GB" w:eastAsia="en-GB"/>
        </w:rPr>
      </w:pPr>
      <w:r>
        <w:rPr>
          <w:rFonts w:cs="Arial"/>
          <w:lang w:val="en-GB" w:eastAsia="en-GB"/>
        </w:rPr>
        <w:t>Parkfield Communications Limited</w:t>
      </w:r>
    </w:p>
    <w:p>
      <w:pPr>
        <w:spacing w:after="0" w:line="240" w:lineRule="auto"/>
        <w:rPr>
          <w:rFonts w:cs="Arial"/>
          <w:lang w:val="en-GB" w:eastAsia="en-GB"/>
        </w:rPr>
      </w:pPr>
      <w:r>
        <w:rPr>
          <w:rFonts w:cs="Arial"/>
          <w:lang w:val="en-GB" w:eastAsia="en-GB"/>
        </w:rPr>
        <w:t>Parkfield House</w:t>
      </w:r>
    </w:p>
    <w:p>
      <w:pPr>
        <w:spacing w:after="0" w:line="240" w:lineRule="auto"/>
        <w:rPr>
          <w:rFonts w:cs="Arial"/>
          <w:lang w:eastAsia="en-GB"/>
        </w:rPr>
      </w:pPr>
      <w:r>
        <w:rPr>
          <w:rFonts w:cs="Arial"/>
          <w:lang w:eastAsia="en-GB"/>
        </w:rPr>
        <w:t>Damerham</w:t>
      </w:r>
    </w:p>
    <w:p>
      <w:pPr>
        <w:spacing w:after="0" w:line="240" w:lineRule="auto"/>
        <w:rPr>
          <w:rFonts w:cs="Arial"/>
          <w:lang w:eastAsia="en-GB"/>
        </w:rPr>
      </w:pPr>
      <w:r>
        <w:rPr>
          <w:rFonts w:cs="Arial"/>
          <w:lang w:eastAsia="en-GB"/>
        </w:rPr>
        <w:t>SP6 3HQ</w:t>
      </w:r>
    </w:p>
    <w:p>
      <w:pPr>
        <w:spacing w:after="0" w:line="240" w:lineRule="auto"/>
        <w:rPr>
          <w:rFonts w:cs="Arial"/>
          <w:lang w:eastAsia="en-GB"/>
        </w:rPr>
      </w:pPr>
      <w:r>
        <w:rPr>
          <w:rFonts w:cs="Arial"/>
          <w:lang w:eastAsia="en-GB"/>
        </w:rPr>
        <w:t>Großbritannien</w:t>
      </w:r>
    </w:p>
    <w:p>
      <w:pPr>
        <w:spacing w:after="0" w:line="240" w:lineRule="auto"/>
        <w:rPr>
          <w:rFonts w:cs="Arial"/>
          <w:lang w:eastAsia="en-GB"/>
        </w:rPr>
      </w:pPr>
      <w:r>
        <w:rPr>
          <w:rFonts w:cs="Arial"/>
          <w:lang w:eastAsia="en-GB"/>
        </w:rPr>
        <w:t>Tel: + 44 (0)1725 518321</w:t>
      </w:r>
    </w:p>
    <w:p>
      <w:pPr>
        <w:spacing w:after="0" w:line="240" w:lineRule="auto"/>
        <w:rPr>
          <w:rFonts w:cs="Arial"/>
          <w:lang w:val="fr-FR" w:eastAsia="en-GB"/>
        </w:rPr>
      </w:pPr>
      <w:r>
        <w:rPr>
          <w:rFonts w:cs="Arial"/>
          <w:lang w:val="fr-FR" w:eastAsia="en-GB"/>
        </w:rPr>
        <w:t>Fax: + 44 (0)1725 518378</w:t>
      </w:r>
    </w:p>
    <w:p>
      <w:pPr>
        <w:spacing w:after="0" w:line="240" w:lineRule="auto"/>
        <w:rPr>
          <w:rFonts w:cs="Arial"/>
          <w:lang w:val="fr-FR" w:eastAsia="en-GB"/>
        </w:rPr>
      </w:pPr>
      <w:hyperlink r:id="rId9" w:history="1">
        <w:r>
          <w:rPr>
            <w:rStyle w:val="Hyperlink"/>
            <w:rFonts w:cs="Arial"/>
            <w:lang w:val="fr-FR" w:eastAsia="en-GB"/>
          </w:rPr>
          <w:t>nigel.may@parkfield.co.uk</w:t>
        </w:r>
      </w:hyperlink>
      <w:r>
        <w:rPr>
          <w:rFonts w:cs="Arial"/>
          <w:lang w:val="fr-FR" w:eastAsia="en-GB"/>
        </w:rPr>
        <w:t xml:space="preserve"> </w:t>
      </w:r>
    </w:p>
    <w:p>
      <w:pPr>
        <w:spacing w:after="0" w:line="240" w:lineRule="auto"/>
        <w:rPr>
          <w:rFonts w:cs="Arial"/>
          <w:lang w:eastAsia="en-GB"/>
        </w:rPr>
      </w:pPr>
      <w:hyperlink r:id="rId10" w:history="1">
        <w:r>
          <w:rPr>
            <w:rStyle w:val="Hyperlink"/>
            <w:rFonts w:cs="Arial"/>
            <w:lang w:eastAsia="en-GB"/>
          </w:rPr>
          <w:t>parkfield.co.uk</w:t>
        </w:r>
      </w:hyperlink>
      <w:r>
        <w:rPr>
          <w:rFonts w:cs="Arial"/>
          <w:lang w:eastAsia="en-GB"/>
        </w:rPr>
        <w:t xml:space="preserve"> </w:t>
      </w:r>
    </w:p>
    <w:p>
      <w:pPr>
        <w:spacing w:after="0" w:line="240" w:lineRule="auto"/>
        <w:rPr>
          <w:rFonts w:cs="Arial"/>
          <w:lang w:eastAsia="en-GB"/>
        </w:rPr>
      </w:pPr>
      <w:r>
        <w:rPr>
          <w:rFonts w:cs="Arial"/>
          <w:lang w:eastAsia="en-GB"/>
        </w:rPr>
        <w:br/>
        <w:t xml:space="preserve">E2S ist der weltweit größte unabhängige Hersteller von Alarmsignalgeräten. Mit Sitz in West-London, England, konzipiert und fertigt das Unternehmen eine umfassende Auswahl an </w:t>
      </w:r>
      <w:r>
        <w:t xml:space="preserve">akustischen- und optischen Alarmsignalgeräten für Ex Gefahrenzonen, Industrieanlagen und Sirenen zur großflächigen Alarmierung. </w:t>
      </w:r>
      <w:r>
        <w:rPr>
          <w:rFonts w:cs="Arial"/>
          <w:lang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pPr>
        <w:spacing w:after="0" w:line="240" w:lineRule="auto"/>
        <w:rPr>
          <w:rFonts w:cs="Arial"/>
          <w:lang w:eastAsia="en-GB"/>
        </w:rPr>
      </w:pPr>
    </w:p>
    <w:p>
      <w:pPr>
        <w:spacing w:after="0" w:line="240" w:lineRule="auto"/>
        <w:rPr>
          <w:rFonts w:cs="Arial"/>
          <w:lang w:val="en-GB" w:eastAsia="en-GB"/>
        </w:rPr>
      </w:pPr>
      <w:r>
        <w:rPr>
          <w:rFonts w:cs="Arial"/>
          <w:lang w:val="en-GB" w:eastAsia="en-GB"/>
        </w:rPr>
        <w:t>E2S Warning Signals</w:t>
      </w:r>
    </w:p>
    <w:p>
      <w:pPr>
        <w:spacing w:after="0" w:line="240" w:lineRule="auto"/>
        <w:rPr>
          <w:rFonts w:cs="Arial"/>
          <w:lang w:val="en-GB" w:eastAsia="en-GB"/>
        </w:rPr>
      </w:pPr>
      <w:r>
        <w:rPr>
          <w:rFonts w:cs="Arial"/>
          <w:lang w:val="en-GB" w:eastAsia="en-GB"/>
        </w:rPr>
        <w:t>Impress House</w:t>
      </w:r>
    </w:p>
    <w:p>
      <w:pPr>
        <w:spacing w:after="0" w:line="240" w:lineRule="auto"/>
        <w:rPr>
          <w:rFonts w:cs="Arial"/>
          <w:lang w:val="en-GB" w:eastAsia="en-GB"/>
        </w:rPr>
      </w:pPr>
      <w:r>
        <w:rPr>
          <w:rFonts w:cs="Arial"/>
          <w:lang w:val="en-GB" w:eastAsia="en-GB"/>
        </w:rPr>
        <w:t>Mansell Road</w:t>
      </w:r>
    </w:p>
    <w:p>
      <w:pPr>
        <w:spacing w:after="0" w:line="240" w:lineRule="auto"/>
        <w:rPr>
          <w:rFonts w:cs="Arial"/>
          <w:lang w:eastAsia="en-GB"/>
        </w:rPr>
      </w:pPr>
      <w:r>
        <w:rPr>
          <w:rFonts w:cs="Arial"/>
          <w:lang w:eastAsia="en-GB"/>
        </w:rPr>
        <w:t>London</w:t>
      </w:r>
    </w:p>
    <w:p>
      <w:pPr>
        <w:spacing w:after="0" w:line="240" w:lineRule="auto"/>
        <w:rPr>
          <w:rFonts w:cs="Arial"/>
          <w:lang w:eastAsia="en-GB"/>
        </w:rPr>
      </w:pPr>
      <w:r>
        <w:rPr>
          <w:rFonts w:cs="Arial"/>
          <w:lang w:eastAsia="en-GB"/>
        </w:rPr>
        <w:t>W3 7QH</w:t>
      </w:r>
    </w:p>
    <w:p>
      <w:pPr>
        <w:spacing w:after="0" w:line="240" w:lineRule="auto"/>
        <w:rPr>
          <w:rFonts w:cs="Arial"/>
          <w:lang w:eastAsia="en-GB"/>
        </w:rPr>
      </w:pPr>
      <w:r>
        <w:rPr>
          <w:rFonts w:cs="Arial"/>
          <w:lang w:eastAsia="en-GB"/>
        </w:rPr>
        <w:t>Großbritannien</w:t>
      </w:r>
    </w:p>
    <w:p>
      <w:pPr>
        <w:spacing w:after="0" w:line="240" w:lineRule="auto"/>
        <w:rPr>
          <w:rFonts w:cs="Arial"/>
          <w:lang w:eastAsia="en-GB"/>
        </w:rPr>
      </w:pPr>
      <w:r>
        <w:rPr>
          <w:rFonts w:cs="Arial"/>
          <w:lang w:eastAsia="en-GB"/>
        </w:rPr>
        <w:t>Tel: + 44 (0)20 8743 8880</w:t>
      </w:r>
    </w:p>
    <w:p>
      <w:pPr>
        <w:spacing w:after="0" w:line="240" w:lineRule="auto"/>
        <w:rPr>
          <w:rFonts w:cs="Arial"/>
          <w:lang w:val="pt-BR" w:eastAsia="en-GB"/>
        </w:rPr>
      </w:pPr>
      <w:r>
        <w:rPr>
          <w:rFonts w:cs="Arial"/>
          <w:lang w:val="pt-BR" w:eastAsia="en-GB"/>
        </w:rPr>
        <w:t>Fax: + 44 (0)20 8740 4200</w:t>
      </w:r>
    </w:p>
    <w:p>
      <w:pPr>
        <w:spacing w:after="0" w:line="240" w:lineRule="auto"/>
        <w:rPr>
          <w:rFonts w:cs="Arial"/>
          <w:lang w:val="pt-BR" w:eastAsia="en-GB"/>
        </w:rPr>
      </w:pPr>
      <w:hyperlink r:id="rId11" w:history="1">
        <w:r>
          <w:rPr>
            <w:rStyle w:val="Hyperlink"/>
            <w:rFonts w:cs="Arial"/>
            <w:lang w:val="pt-BR" w:eastAsia="en-GB"/>
          </w:rPr>
          <w:t>sales@e2s.com</w:t>
        </w:r>
      </w:hyperlink>
      <w:r>
        <w:rPr>
          <w:rFonts w:cs="Arial"/>
          <w:lang w:val="pt-BR" w:eastAsia="en-GB"/>
        </w:rPr>
        <w:t xml:space="preserve"> </w:t>
      </w:r>
    </w:p>
    <w:p>
      <w:pPr>
        <w:tabs>
          <w:tab w:val="left" w:pos="851"/>
          <w:tab w:val="right" w:pos="9072"/>
        </w:tabs>
        <w:spacing w:after="0" w:line="240" w:lineRule="auto"/>
        <w:rPr>
          <w:lang w:val="pt-BR"/>
        </w:rPr>
      </w:pPr>
      <w:hyperlink r:id="rId12" w:history="1">
        <w:r>
          <w:rPr>
            <w:rStyle w:val="Hyperlink"/>
            <w:rFonts w:cs="Arial"/>
            <w:lang w:val="pt-BR" w:eastAsia="en-GB"/>
          </w:rPr>
          <w:t>e2s.com</w:t>
        </w:r>
      </w:hyperlink>
    </w:p>
    <w:p>
      <w:pPr>
        <w:tabs>
          <w:tab w:val="left" w:pos="851"/>
          <w:tab w:val="right" w:pos="9072"/>
        </w:tabs>
        <w:rPr>
          <w:lang w:val="pt-BR"/>
        </w:rPr>
      </w:pPr>
    </w:p>
    <w:p>
      <w:pPr>
        <w:tabs>
          <w:tab w:val="left" w:pos="851"/>
          <w:tab w:val="right" w:pos="9072"/>
        </w:tabs>
        <w:rPr>
          <w:rFonts w:cs="Calibri"/>
          <w:lang w:val="pt-BR"/>
        </w:rPr>
      </w:pPr>
    </w:p>
    <w:p>
      <w:pPr>
        <w:tabs>
          <w:tab w:val="left" w:pos="851"/>
          <w:tab w:val="right" w:pos="9072"/>
        </w:tabs>
        <w:rPr>
          <w:lang w:val="pt-BR"/>
        </w:rPr>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docId w15:val="{EAB2F3EC-6628-41A0-AC8C-9351C61E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napToGrid/>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PlainTextChar">
    <w:name w:val="Plain Text Char"/>
    <w:basedOn w:val="DefaultParagraphFont"/>
    <w:link w:val="PlainText"/>
    <w:uiPriority w:val="99"/>
    <w:semiHidden/>
    <w:qFormat/>
    <w:rPr>
      <w:szCs w:val="21"/>
    </w:r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snapToGrid w:val="0"/>
      <w:kern w:val="2"/>
      <w:szCs w:val="24"/>
      <w:lang w:eastAsia="zh-CN"/>
    </w:rPr>
  </w:style>
  <w:style w:type="character" w:customStyle="1" w:styleId="TitleChar1">
    <w:name w:val="Title Char1"/>
    <w:basedOn w:val="DefaultParagraphFont"/>
    <w:uiPriority w:val="10"/>
    <w:rPr>
      <w:rFonts w:asciiTheme="majorHAnsi" w:eastAsiaTheme="majorEastAsia" w:hAnsiTheme="majorHAnsi" w:cstheme="majorBidi"/>
      <w:snapToGrid/>
      <w:spacing w:val="-10"/>
      <w:kern w:val="28"/>
      <w:sz w:val="56"/>
      <w:szCs w:val="56"/>
      <w:lang w:eastAsia="en-US"/>
    </w:rPr>
  </w:style>
  <w:style w:type="paragraph" w:styleId="PlainText">
    <w:name w:val="Plain Text"/>
    <w:basedOn w:val="Normal"/>
    <w:link w:val="PlainTextChar"/>
    <w:uiPriority w:val="99"/>
    <w:semiHidden/>
    <w:unhideWhenUsed/>
    <w:qFormat/>
    <w:pPr>
      <w:spacing w:after="0" w:line="240" w:lineRule="auto"/>
    </w:pPr>
    <w:rPr>
      <w:rFonts w:ascii="Calibri" w:eastAsiaTheme="minorEastAsia" w:hAnsi="Calibri" w:cs="Times New Roman"/>
      <w:snapToGrid w:val="0"/>
      <w:szCs w:val="21"/>
      <w:lang w:eastAsia="zh-CN"/>
    </w:rPr>
  </w:style>
  <w:style w:type="character" w:customStyle="1" w:styleId="PlainTextChar1">
    <w:name w:val="Plain Text Char1"/>
    <w:basedOn w:val="DefaultParagraphFont"/>
    <w:uiPriority w:val="99"/>
    <w:semiHidden/>
    <w:rPr>
      <w:rFonts w:ascii="Consolas" w:eastAsiaTheme="minorHAnsi" w:hAnsi="Consolas" w:cstheme="minorBidi"/>
      <w:snapToGrid/>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2s.com/product/1341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2s.com/product/13415" TargetMode="External"/><Relationship Id="rId12" Type="http://schemas.openxmlformats.org/officeDocument/2006/relationships/hyperlink" Target="http://www.e2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e2s/" TargetMode="External"/><Relationship Id="rId11" Type="http://schemas.openxmlformats.org/officeDocument/2006/relationships/hyperlink" Target="mailto:sales@e2s.com" TargetMode="External"/><Relationship Id="rId5" Type="http://schemas.openxmlformats.org/officeDocument/2006/relationships/hyperlink" Target="http://www.parkfield.co.uk/e2s/otc20-de.docx" TargetMode="External"/><Relationship Id="rId10" Type="http://schemas.openxmlformats.org/officeDocument/2006/relationships/hyperlink" Target="http://www.parkfield.co.uk" TargetMode="External"/><Relationship Id="rId4" Type="http://schemas.openxmlformats.org/officeDocument/2006/relationships/hyperlink" Target="http://www.parkfield.co.uk/e2s/otc20-print.jpg" TargetMode="External"/><Relationship Id="rId9" Type="http://schemas.openxmlformats.org/officeDocument/2006/relationships/hyperlink" Target="mailto:nigel.may@parkfield.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2020-03-02T10:44:00Z</dcterms:created>
  <dcterms:modified xsi:type="dcterms:W3CDTF">2020-03-02T10:45:00Z</dcterms:modified>
</cp:coreProperties>
</file>