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Cs w:val="22"/>
        </w:rPr>
      </w:pPr>
      <w:bookmarkStart w:id="0" w:name="_GoBack"/>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bookmarkEnd w:id="0"/>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eastAsiaTheme="minorHAnsi" w:hAnsiTheme="minorHAnsi" w:cstheme="minorHAnsi"/>
          <w:b/>
          <w:bCs/>
          <w:kern w:val="0"/>
          <w:szCs w:val="22"/>
          <w:lang w:val="fr-FR"/>
        </w:rPr>
      </w:pPr>
      <w:r>
        <w:rPr>
          <w:rFonts w:asciiTheme="minorHAnsi" w:eastAsiaTheme="minorHAnsi" w:hAnsiTheme="minorHAnsi" w:cstheme="minorHAnsi"/>
          <w:b/>
          <w:bCs/>
          <w:kern w:val="0"/>
          <w:szCs w:val="22"/>
          <w:lang w:val="fr-FR"/>
        </w:rPr>
        <w:t>Communiqué de presse</w:t>
      </w:r>
    </w:p>
    <w:p>
      <w:pPr>
        <w:tabs>
          <w:tab w:val="left" w:pos="851"/>
          <w:tab w:val="right" w:pos="9072"/>
        </w:tabs>
        <w:rPr>
          <w:rFonts w:asciiTheme="minorHAnsi" w:eastAsiaTheme="minorHAnsi" w:hAnsiTheme="minorHAnsi" w:cstheme="minorHAnsi"/>
          <w:bCs/>
          <w:kern w:val="0"/>
          <w:szCs w:val="22"/>
          <w:lang w:val="fr-FR"/>
        </w:rPr>
      </w:pPr>
    </w:p>
    <w:p>
      <w:pPr>
        <w:tabs>
          <w:tab w:val="left" w:pos="851"/>
          <w:tab w:val="right" w:pos="9072"/>
        </w:tabs>
        <w:rPr>
          <w:rFonts w:asciiTheme="minorHAnsi" w:eastAsiaTheme="minorHAnsi" w:hAnsiTheme="minorHAnsi" w:cstheme="minorHAnsi"/>
          <w:bCs/>
          <w:kern w:val="0"/>
          <w:szCs w:val="22"/>
          <w:lang w:val="fr-FR"/>
        </w:rPr>
      </w:pPr>
      <w:r>
        <w:rPr>
          <w:rFonts w:asciiTheme="minorHAnsi" w:eastAsiaTheme="minorHAnsi" w:hAnsiTheme="minorHAnsi" w:cstheme="minorHAnsi"/>
          <w:bCs/>
          <w:kern w:val="0"/>
          <w:szCs w:val="22"/>
          <w:lang w:val="fr-FR"/>
        </w:rPr>
        <w:t xml:space="preserve">Pour télécharger une image de qualité 300dpi pour impression, </w:t>
      </w:r>
    </w:p>
    <w:p>
      <w:pPr>
        <w:tabs>
          <w:tab w:val="left" w:pos="851"/>
          <w:tab w:val="right" w:pos="9072"/>
        </w:tabs>
        <w:rPr>
          <w:rFonts w:asciiTheme="minorHAnsi" w:hAnsiTheme="minorHAnsi" w:cstheme="minorHAnsi"/>
          <w:lang w:val="fr-FR"/>
        </w:rPr>
      </w:pPr>
      <w:proofErr w:type="gramStart"/>
      <w:r>
        <w:rPr>
          <w:rFonts w:asciiTheme="minorHAnsi" w:eastAsiaTheme="minorHAnsi" w:hAnsiTheme="minorHAnsi" w:cstheme="minorHAnsi"/>
          <w:bCs/>
          <w:kern w:val="0"/>
          <w:szCs w:val="22"/>
          <w:lang w:val="fr-FR"/>
        </w:rPr>
        <w:t>rendez</w:t>
      </w:r>
      <w:proofErr w:type="gramEnd"/>
      <w:r>
        <w:rPr>
          <w:rFonts w:asciiTheme="minorHAnsi" w:eastAsiaTheme="minorHAnsi" w:hAnsiTheme="minorHAnsi" w:cstheme="minorHAnsi"/>
          <w:bCs/>
          <w:kern w:val="0"/>
          <w:szCs w:val="22"/>
          <w:lang w:val="fr-FR"/>
        </w:rPr>
        <w:t xml:space="preserve">-vous sur </w:t>
      </w:r>
      <w:hyperlink r:id="rId7">
        <w:r>
          <w:rPr>
            <w:rStyle w:val="InternetLink"/>
            <w:rFonts w:asciiTheme="minorHAnsi" w:eastAsiaTheme="minorHAnsi" w:hAnsiTheme="minorHAnsi" w:cstheme="minorHAnsi"/>
            <w:bCs/>
            <w:kern w:val="0"/>
            <w:szCs w:val="22"/>
            <w:lang w:val="fr-FR"/>
          </w:rPr>
          <w:t>parkfield.co.uk/hammond/1557-print.jpg</w:t>
        </w:r>
      </w:hyperlink>
    </w:p>
    <w:p>
      <w:pPr>
        <w:tabs>
          <w:tab w:val="left" w:pos="851"/>
          <w:tab w:val="right" w:pos="9072"/>
        </w:tabs>
        <w:rPr>
          <w:rFonts w:asciiTheme="minorHAnsi" w:eastAsiaTheme="minorHAnsi" w:hAnsiTheme="minorHAnsi" w:cstheme="minorHAnsi"/>
          <w:bCs/>
          <w:kern w:val="0"/>
          <w:szCs w:val="22"/>
          <w:lang w:val="fr-FR"/>
        </w:rPr>
      </w:pPr>
    </w:p>
    <w:p>
      <w:pPr>
        <w:tabs>
          <w:tab w:val="left" w:pos="851"/>
          <w:tab w:val="right" w:pos="9072"/>
        </w:tabs>
        <w:rPr>
          <w:rFonts w:asciiTheme="minorHAnsi" w:hAnsiTheme="minorHAnsi" w:cstheme="minorHAnsi"/>
          <w:lang w:val="fr-FR"/>
        </w:rPr>
      </w:pPr>
      <w:r>
        <w:rPr>
          <w:rFonts w:asciiTheme="minorHAnsi" w:eastAsiaTheme="minorHAnsi" w:hAnsiTheme="minorHAnsi" w:cstheme="minorHAnsi"/>
          <w:bCs/>
          <w:kern w:val="0"/>
          <w:szCs w:val="22"/>
          <w:lang w:val="fr-FR"/>
        </w:rPr>
        <w:t xml:space="preserve">Pour télécharger un fichier Word de ce texte, aller sur </w:t>
      </w:r>
      <w:hyperlink r:id="rId8">
        <w:r>
          <w:rPr>
            <w:rStyle w:val="InternetLink"/>
            <w:rFonts w:asciiTheme="minorHAnsi" w:eastAsiaTheme="minorHAnsi" w:hAnsiTheme="minorHAnsi" w:cstheme="minorHAnsi"/>
            <w:bCs/>
            <w:kern w:val="0"/>
            <w:szCs w:val="22"/>
            <w:lang w:val="fr-FR"/>
          </w:rPr>
          <w:t>parkfield.co.uk/hammond/1557-fr.docx</w:t>
        </w:r>
      </w:hyperlink>
    </w:p>
    <w:p>
      <w:pPr>
        <w:tabs>
          <w:tab w:val="left" w:pos="851"/>
          <w:tab w:val="right" w:pos="9072"/>
        </w:tabs>
        <w:rPr>
          <w:rFonts w:asciiTheme="minorHAnsi" w:eastAsiaTheme="minorHAnsi" w:hAnsiTheme="minorHAnsi" w:cstheme="minorHAnsi"/>
          <w:bCs/>
          <w:kern w:val="0"/>
          <w:szCs w:val="22"/>
          <w:lang w:val="fr-FR"/>
        </w:rPr>
      </w:pPr>
    </w:p>
    <w:p>
      <w:pPr>
        <w:tabs>
          <w:tab w:val="left" w:pos="851"/>
          <w:tab w:val="right" w:pos="9072"/>
        </w:tabs>
        <w:rPr>
          <w:rFonts w:asciiTheme="minorHAnsi" w:hAnsiTheme="minorHAnsi" w:cstheme="minorHAnsi"/>
          <w:lang w:val="fr-FR"/>
        </w:rPr>
      </w:pPr>
      <w:r>
        <w:rPr>
          <w:rFonts w:asciiTheme="minorHAnsi" w:eastAsiaTheme="minorHAnsi" w:hAnsiTheme="minorHAnsi" w:cstheme="minorHAnsi"/>
          <w:bCs/>
          <w:kern w:val="0"/>
          <w:szCs w:val="22"/>
          <w:lang w:val="fr-FR"/>
        </w:rPr>
        <w:t xml:space="preserve">Pour voir tous les communiqués de presse Hammond, visitez le site </w:t>
      </w:r>
      <w:hyperlink r:id="rId9">
        <w:r>
          <w:rPr>
            <w:rStyle w:val="InternetLink"/>
            <w:rFonts w:asciiTheme="minorHAnsi" w:eastAsiaTheme="minorHAnsi" w:hAnsiTheme="minorHAnsi" w:cstheme="minorHAnsi"/>
            <w:bCs/>
            <w:kern w:val="0"/>
            <w:szCs w:val="22"/>
            <w:lang w:val="fr-FR"/>
          </w:rPr>
          <w:t>parkfield.co.uk/hammond/</w:t>
        </w:r>
      </w:hyperlink>
      <w:r>
        <w:rPr>
          <w:rFonts w:asciiTheme="minorHAnsi" w:eastAsiaTheme="minorHAnsi" w:hAnsiTheme="minorHAnsi" w:cstheme="minorHAnsi"/>
          <w:bCs/>
          <w:kern w:val="0"/>
          <w:szCs w:val="22"/>
          <w:lang w:val="fr-FR"/>
        </w:rPr>
        <w:t xml:space="preserve"> </w:t>
      </w:r>
    </w:p>
    <w:p>
      <w:pPr>
        <w:pStyle w:val="Title"/>
        <w:pBdr>
          <w:top w:val="nil"/>
          <w:left w:val="nil"/>
          <w:bottom w:val="nil"/>
          <w:right w:val="nil"/>
        </w:pBdr>
        <w:jc w:val="left"/>
        <w:rPr>
          <w:rFonts w:asciiTheme="minorHAnsi" w:hAnsiTheme="minorHAnsi" w:cstheme="minorHAnsi"/>
          <w:lang w:val="fr-FR"/>
        </w:rPr>
      </w:pPr>
    </w:p>
    <w:p>
      <w:pPr>
        <w:tabs>
          <w:tab w:val="left" w:pos="851"/>
          <w:tab w:val="right" w:pos="9072"/>
        </w:tabs>
        <w:rPr>
          <w:rFonts w:asciiTheme="minorHAnsi" w:hAnsiTheme="minorHAnsi" w:cstheme="minorHAnsi"/>
          <w:lang w:val="fr-FR"/>
        </w:rPr>
      </w:pPr>
      <w:r>
        <w:rPr>
          <w:rFonts w:asciiTheme="minorHAnsi" w:hAnsiTheme="minorHAnsi" w:cstheme="minorHAnsi"/>
          <w:b/>
          <w:bCs/>
          <w:lang w:val="fr-FR"/>
        </w:rPr>
        <w:t xml:space="preserve">Hammond lance sa nouvelle gamme 1557 d’élégants boîtiers en plastique muraux/de bureau conformes à IP68 </w:t>
      </w:r>
    </w:p>
    <w:p>
      <w:pPr>
        <w:tabs>
          <w:tab w:val="left" w:pos="851"/>
          <w:tab w:val="right" w:pos="9072"/>
        </w:tabs>
        <w:rPr>
          <w:rFonts w:asciiTheme="minorHAnsi" w:hAnsiTheme="minorHAnsi" w:cstheme="minorHAnsi"/>
          <w:lang w:val="fr-FR"/>
        </w:rPr>
      </w:pPr>
    </w:p>
    <w:p>
      <w:pPr>
        <w:tabs>
          <w:tab w:val="left" w:pos="851"/>
          <w:tab w:val="right" w:pos="9072"/>
        </w:tabs>
        <w:rPr>
          <w:rFonts w:asciiTheme="minorHAnsi" w:hAnsiTheme="minorHAnsi" w:cstheme="minorHAnsi"/>
          <w:lang w:val="fr-FR"/>
        </w:rPr>
      </w:pPr>
      <w:r>
        <w:rPr>
          <w:rFonts w:asciiTheme="minorHAnsi" w:hAnsiTheme="minorHAnsi" w:cstheme="minorHAnsi"/>
          <w:lang w:val="fr-FR"/>
        </w:rPr>
        <w:t xml:space="preserve">Hammond Electronics a annoncé le lancement de sa nouvelle </w:t>
      </w:r>
      <w:hyperlink r:id="rId10">
        <w:r>
          <w:rPr>
            <w:rStyle w:val="InternetLink"/>
            <w:rFonts w:asciiTheme="minorHAnsi" w:hAnsiTheme="minorHAnsi" w:cstheme="minorHAnsi"/>
            <w:lang w:val="fr-FR"/>
          </w:rPr>
          <w:t>gamme 1557</w:t>
        </w:r>
      </w:hyperlink>
      <w:r>
        <w:rPr>
          <w:rFonts w:asciiTheme="minorHAnsi" w:hAnsiTheme="minorHAnsi" w:cstheme="minorHAnsi"/>
          <w:lang w:val="fr-FR"/>
        </w:rPr>
        <w:t xml:space="preserve">. Initialement disponible en quatre formats, chacun en deux </w:t>
      </w:r>
      <w:proofErr w:type="spellStart"/>
      <w:r>
        <w:rPr>
          <w:rFonts w:asciiTheme="minorHAnsi" w:hAnsiTheme="minorHAnsi" w:cstheme="minorHAnsi"/>
          <w:lang w:val="fr-FR"/>
        </w:rPr>
        <w:t>hauteurs</w:t>
      </w:r>
      <w:proofErr w:type="spellEnd"/>
      <w:r>
        <w:rPr>
          <w:rFonts w:asciiTheme="minorHAnsi" w:hAnsiTheme="minorHAnsi" w:cstheme="minorHAnsi"/>
          <w:lang w:val="fr-FR"/>
        </w:rPr>
        <w:t xml:space="preserve">, elle est fabriquée en polycarbonate étanche conforme à IP68 et en ABS conçu pour respecter la norme IP66. Ses dimensions sont les suivantes :  80 x 80 x 45 et 60 mm et 120 x 120, 160 x 160 et 200 x 200, avec des hauteurs de 45 et 70 </w:t>
      </w:r>
      <w:proofErr w:type="spellStart"/>
      <w:r>
        <w:rPr>
          <w:rFonts w:asciiTheme="minorHAnsi" w:hAnsiTheme="minorHAnsi" w:cstheme="minorHAnsi"/>
          <w:lang w:val="fr-FR"/>
        </w:rPr>
        <w:t>mm.</w:t>
      </w:r>
      <w:proofErr w:type="spellEnd"/>
      <w:r>
        <w:rPr>
          <w:rFonts w:asciiTheme="minorHAnsi" w:hAnsiTheme="minorHAnsi" w:cstheme="minorHAnsi"/>
          <w:lang w:val="fr-FR"/>
        </w:rPr>
        <w:t xml:space="preserve"> Toutes les versions sont proposées en noir et en gris RAL 7035.</w:t>
      </w:r>
    </w:p>
    <w:p>
      <w:pPr>
        <w:tabs>
          <w:tab w:val="left" w:pos="851"/>
          <w:tab w:val="right" w:pos="9072"/>
        </w:tabs>
        <w:rPr>
          <w:rFonts w:asciiTheme="minorHAnsi" w:hAnsiTheme="minorHAnsi" w:cstheme="minorHAnsi"/>
          <w:lang w:val="fr-FR"/>
        </w:rPr>
      </w:pPr>
    </w:p>
    <w:p>
      <w:pPr>
        <w:tabs>
          <w:tab w:val="left" w:pos="851"/>
          <w:tab w:val="right" w:pos="9072"/>
        </w:tabs>
        <w:rPr>
          <w:rFonts w:asciiTheme="minorHAnsi" w:hAnsiTheme="minorHAnsi" w:cstheme="minorHAnsi"/>
          <w:lang w:val="fr-FR"/>
        </w:rPr>
      </w:pPr>
      <w:r>
        <w:rPr>
          <w:rFonts w:asciiTheme="minorHAnsi" w:hAnsiTheme="minorHAnsi" w:cstheme="minorHAnsi"/>
          <w:lang w:val="fr-FR"/>
        </w:rPr>
        <w:t xml:space="preserve">Les coins arrondis et la surface supérieure confèrent un style lisse et moderne, et l’étanchéité environnementale permet aux boîtiers de protéger l’équipement qu’ils abritent contre la pénétration d’eau et de poussières dans les environnements humides et sales. Les boîtiers de la gamme 1557 peuvent être utilisés comme boîtiers autonomes une fois équipés des pieds fournis, ou ils peuvent être montés au mur avec au choix quatre fixations visibles ou deux fixations dissimulées. Un PDF montrant les autres fixations murales peut être </w:t>
      </w:r>
      <w:hyperlink r:id="rId11">
        <w:r>
          <w:rPr>
            <w:rStyle w:val="InternetLink"/>
            <w:rFonts w:asciiTheme="minorHAnsi" w:hAnsiTheme="minorHAnsi" w:cstheme="minorHAnsi"/>
            <w:lang w:val="fr-FR"/>
          </w:rPr>
          <w:t>téléchargé ici</w:t>
        </w:r>
      </w:hyperlink>
      <w:r>
        <w:rPr>
          <w:rFonts w:asciiTheme="minorHAnsi" w:hAnsiTheme="minorHAnsi" w:cstheme="minorHAnsi"/>
          <w:lang w:val="fr-FR"/>
        </w:rPr>
        <w:t>.</w:t>
      </w:r>
    </w:p>
    <w:p>
      <w:pPr>
        <w:tabs>
          <w:tab w:val="left" w:pos="851"/>
          <w:tab w:val="right" w:pos="9072"/>
        </w:tabs>
        <w:rPr>
          <w:rFonts w:asciiTheme="minorHAnsi" w:hAnsiTheme="minorHAnsi" w:cstheme="minorHAnsi"/>
          <w:lang w:val="fr-FR"/>
        </w:rPr>
      </w:pPr>
    </w:p>
    <w:p>
      <w:pPr>
        <w:tabs>
          <w:tab w:val="left" w:pos="851"/>
          <w:tab w:val="right" w:pos="9072"/>
        </w:tabs>
        <w:rPr>
          <w:rFonts w:asciiTheme="minorHAnsi" w:hAnsiTheme="minorHAnsi" w:cstheme="minorHAnsi"/>
          <w:lang w:val="fr-FR"/>
        </w:rPr>
      </w:pPr>
      <w:r>
        <w:rPr>
          <w:rFonts w:asciiTheme="minorHAnsi" w:hAnsiTheme="minorHAnsi" w:cstheme="minorHAnsi"/>
          <w:lang w:val="fr-FR"/>
        </w:rPr>
        <w:t xml:space="preserve">Des rehausseurs de circuit imprimé sont fournis dans le couvercle et la base. Le boîtier est assemblé à l’aide de vis M4 usinées en acier inoxydable </w:t>
      </w:r>
      <w:proofErr w:type="spellStart"/>
      <w:r>
        <w:rPr>
          <w:rFonts w:asciiTheme="minorHAnsi" w:hAnsiTheme="minorHAnsi" w:cstheme="minorHAnsi"/>
          <w:lang w:val="fr-FR"/>
        </w:rPr>
        <w:t>anti-rouille</w:t>
      </w:r>
      <w:proofErr w:type="spellEnd"/>
      <w:r>
        <w:rPr>
          <w:rFonts w:asciiTheme="minorHAnsi" w:hAnsiTheme="minorHAnsi" w:cstheme="minorHAnsi"/>
          <w:lang w:val="fr-FR"/>
        </w:rPr>
        <w:t xml:space="preserve">, qui sont vissées dans des douilles intégrales en acier inoxydable, pour un montage et </w:t>
      </w:r>
      <w:proofErr w:type="gramStart"/>
      <w:r>
        <w:rPr>
          <w:rFonts w:asciiTheme="minorHAnsi" w:hAnsiTheme="minorHAnsi" w:cstheme="minorHAnsi"/>
          <w:lang w:val="fr-FR"/>
        </w:rPr>
        <w:t>une dépose répétitifs</w:t>
      </w:r>
      <w:proofErr w:type="gramEnd"/>
      <w:r>
        <w:rPr>
          <w:rFonts w:asciiTheme="minorHAnsi" w:hAnsiTheme="minorHAnsi" w:cstheme="minorHAnsi"/>
          <w:lang w:val="fr-FR"/>
        </w:rPr>
        <w:t xml:space="preserve">. Les versions en polycarbonate IP68 ont une protection anti-UV conforme à UL94-5VA, pour utilisation à l’extérieur, et les versions ABS conformes à IP66 ont un indice d’inflammabilité de UL94-HB pour utilisation à l’intérieur.   </w:t>
      </w:r>
    </w:p>
    <w:p>
      <w:pPr>
        <w:tabs>
          <w:tab w:val="left" w:pos="851"/>
          <w:tab w:val="right" w:pos="9072"/>
        </w:tabs>
        <w:rPr>
          <w:rFonts w:asciiTheme="minorHAnsi" w:hAnsiTheme="minorHAnsi" w:cstheme="minorHAnsi"/>
          <w:lang w:val="fr-FR"/>
        </w:rPr>
      </w:pPr>
    </w:p>
    <w:p>
      <w:pPr>
        <w:tabs>
          <w:tab w:val="left" w:pos="851"/>
          <w:tab w:val="right" w:pos="9072"/>
        </w:tabs>
        <w:rPr>
          <w:rFonts w:asciiTheme="minorHAnsi" w:hAnsiTheme="minorHAnsi" w:cstheme="minorHAnsi"/>
          <w:lang w:val="fr-FR"/>
        </w:rPr>
      </w:pPr>
      <w:r>
        <w:rPr>
          <w:rFonts w:asciiTheme="minorHAnsi" w:hAnsiTheme="minorHAnsi" w:cstheme="minorHAnsi"/>
          <w:lang w:val="fr-FR"/>
        </w:rPr>
        <w:t>***Fin : Corps du texte 243 mots***</w:t>
      </w:r>
    </w:p>
    <w:p>
      <w:pPr>
        <w:tabs>
          <w:tab w:val="left" w:pos="851"/>
          <w:tab w:val="right" w:pos="9072"/>
        </w:tabs>
        <w:rPr>
          <w:rFonts w:asciiTheme="minorHAnsi" w:hAnsiTheme="minorHAnsi" w:cstheme="minorHAnsi"/>
          <w:lang w:val="fr-FR"/>
        </w:rPr>
      </w:pPr>
    </w:p>
    <w:p>
      <w:pPr>
        <w:tabs>
          <w:tab w:val="left" w:pos="851"/>
          <w:tab w:val="right" w:pos="9072"/>
        </w:tabs>
        <w:rPr>
          <w:rFonts w:asciiTheme="minorHAnsi" w:hAnsiTheme="minorHAnsi" w:cstheme="minorHAnsi"/>
          <w:b/>
          <w:szCs w:val="22"/>
          <w:lang w:val="fr-FR"/>
        </w:rPr>
      </w:pPr>
      <w:r>
        <w:rPr>
          <w:rFonts w:asciiTheme="minorHAnsi" w:hAnsiTheme="minorHAnsi" w:cstheme="minorHAnsi"/>
          <w:b/>
          <w:szCs w:val="22"/>
          <w:lang w:val="fr-FR"/>
        </w:rPr>
        <w:t>Notes rédaction</w:t>
      </w:r>
    </w:p>
    <w:p>
      <w:pPr>
        <w:tabs>
          <w:tab w:val="left" w:pos="851"/>
          <w:tab w:val="right" w:pos="9072"/>
        </w:tabs>
        <w:rPr>
          <w:rFonts w:asciiTheme="minorHAnsi" w:hAnsiTheme="minorHAnsi" w:cstheme="minorHAnsi"/>
          <w:b/>
          <w:lang w:val="fr-FR"/>
        </w:rPr>
      </w:pPr>
      <w:r>
        <w:rPr>
          <w:rFonts w:asciiTheme="minorHAnsi" w:hAnsiTheme="minorHAnsi" w:cstheme="minorHAnsi"/>
          <w:b/>
          <w:lang w:val="fr-FR"/>
        </w:rPr>
        <w:t>Communiqué du 18 novembre 2019</w:t>
      </w:r>
    </w:p>
    <w:p>
      <w:pPr>
        <w:tabs>
          <w:tab w:val="left" w:pos="851"/>
          <w:tab w:val="right" w:pos="9072"/>
        </w:tabs>
        <w:rPr>
          <w:rFonts w:asciiTheme="minorHAnsi" w:hAnsiTheme="minorHAnsi" w:cstheme="minorHAnsi"/>
          <w:b/>
          <w:szCs w:val="22"/>
          <w:lang w:val="fr-FR"/>
        </w:rPr>
      </w:pPr>
    </w:p>
    <w:p>
      <w:pPr>
        <w:tabs>
          <w:tab w:val="left" w:pos="851"/>
          <w:tab w:val="right" w:pos="9072"/>
        </w:tabs>
        <w:rPr>
          <w:rFonts w:asciiTheme="minorHAnsi" w:hAnsiTheme="minorHAnsi" w:cstheme="minorHAnsi"/>
          <w:lang w:val="fr-FR"/>
        </w:rPr>
      </w:pPr>
      <w:r>
        <w:rPr>
          <w:rFonts w:asciiTheme="minorHAnsi" w:hAnsiTheme="minorHAnsi" w:cstheme="minorHAnsi"/>
          <w:szCs w:val="22"/>
          <w:lang w:val="fr-FR"/>
        </w:rPr>
        <w:t>Pour tout renseignement complémentaire :</w:t>
      </w:r>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Justin Elkins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Electronics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1 Onslow Close</w:t>
      </w:r>
    </w:p>
    <w:p>
      <w:pPr>
        <w:tabs>
          <w:tab w:val="left" w:pos="851"/>
          <w:tab w:val="right" w:pos="9072"/>
        </w:tabs>
        <w:rPr>
          <w:rFonts w:asciiTheme="minorHAnsi" w:hAnsiTheme="minorHAnsi" w:cstheme="minorHAnsi"/>
          <w:szCs w:val="22"/>
        </w:rPr>
      </w:pPr>
      <w:r>
        <w:rPr>
          <w:rFonts w:asciiTheme="minorHAnsi" w:hAnsiTheme="minorHAnsi" w:cstheme="minorHAnsi"/>
          <w:szCs w:val="22"/>
        </w:rPr>
        <w:lastRenderedPageBreak/>
        <w:t>Kingsland Business Park</w:t>
      </w:r>
    </w:p>
    <w:p>
      <w:pPr>
        <w:tabs>
          <w:tab w:val="left" w:pos="851"/>
          <w:tab w:val="right" w:pos="9072"/>
        </w:tabs>
        <w:rPr>
          <w:rFonts w:asciiTheme="minorHAnsi" w:hAnsiTheme="minorHAnsi" w:cstheme="minorHAnsi"/>
          <w:szCs w:val="22"/>
        </w:rPr>
      </w:pPr>
      <w:r>
        <w:rPr>
          <w:rFonts w:asciiTheme="minorHAnsi" w:hAnsiTheme="minorHAnsi" w:cstheme="minorHAnsi"/>
          <w:szCs w:val="22"/>
        </w:rPr>
        <w:t>Basingstoke</w:t>
      </w:r>
    </w:p>
    <w:p>
      <w:pPr>
        <w:tabs>
          <w:tab w:val="left" w:pos="851"/>
          <w:tab w:val="right" w:pos="9072"/>
        </w:tabs>
        <w:rPr>
          <w:rFonts w:asciiTheme="minorHAnsi" w:hAnsiTheme="minorHAnsi" w:cstheme="minorHAnsi"/>
          <w:szCs w:val="22"/>
        </w:rPr>
      </w:pPr>
      <w:r>
        <w:rPr>
          <w:rFonts w:asciiTheme="minorHAnsi" w:hAnsiTheme="minorHAnsi" w:cstheme="minorHAnsi"/>
          <w:szCs w:val="22"/>
        </w:rPr>
        <w:t>RG24 8QL</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1256 812812</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1256 332249</w:t>
      </w:r>
    </w:p>
    <w:p>
      <w:pPr>
        <w:tabs>
          <w:tab w:val="left" w:pos="851"/>
          <w:tab w:val="right" w:pos="9072"/>
        </w:tabs>
        <w:rPr>
          <w:rFonts w:asciiTheme="minorHAnsi" w:hAnsiTheme="minorHAnsi" w:cstheme="minorHAnsi"/>
          <w:szCs w:val="22"/>
        </w:rPr>
      </w:pPr>
      <w:r>
        <w:rPr>
          <w:rStyle w:val="InternetLink"/>
          <w:rFonts w:asciiTheme="minorHAnsi" w:hAnsiTheme="minorHAnsi" w:cstheme="minorHAnsi"/>
          <w:szCs w:val="22"/>
        </w:rPr>
        <w:t>sales@hammondmfg.eu</w:t>
      </w:r>
    </w:p>
    <w:p>
      <w:pPr>
        <w:tabs>
          <w:tab w:val="left" w:pos="851"/>
          <w:tab w:val="right" w:pos="9072"/>
        </w:tabs>
        <w:rPr>
          <w:rFonts w:asciiTheme="minorHAnsi" w:hAnsiTheme="minorHAnsi" w:cstheme="minorHAnsi"/>
          <w:szCs w:val="22"/>
        </w:rPr>
      </w:pPr>
      <w:r>
        <w:rPr>
          <w:rStyle w:val="InternetLink"/>
          <w:rFonts w:asciiTheme="minorHAnsi" w:hAnsiTheme="minorHAnsi" w:cstheme="minorHAnsi"/>
          <w:szCs w:val="22"/>
        </w:rPr>
        <w:t>www.hammondmfg.com</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 xml:space="preserve">Contact </w:t>
      </w:r>
      <w:proofErr w:type="spellStart"/>
      <w:proofErr w:type="gramStart"/>
      <w:r>
        <w:rPr>
          <w:rFonts w:asciiTheme="minorHAnsi" w:hAnsiTheme="minorHAnsi" w:cstheme="minorHAnsi"/>
          <w:szCs w:val="22"/>
        </w:rPr>
        <w:t>agence</w:t>
      </w:r>
      <w:proofErr w:type="spellEnd"/>
      <w:r>
        <w:rPr>
          <w:rFonts w:asciiTheme="minorHAnsi" w:hAnsiTheme="minorHAnsi" w:cstheme="minorHAnsi"/>
          <w:szCs w:val="22"/>
        </w:rPr>
        <w:t xml:space="preserve"> :</w:t>
      </w:r>
      <w:proofErr w:type="gramEnd"/>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rPr>
      </w:pPr>
      <w:r>
        <w:rPr>
          <w:rFonts w:asciiTheme="minorHAnsi" w:hAnsiTheme="minorHAnsi" w:cstheme="minorHAnsi"/>
          <w:szCs w:val="22"/>
        </w:rPr>
        <w:t>Hants</w:t>
      </w:r>
    </w:p>
    <w:p>
      <w:pPr>
        <w:tabs>
          <w:tab w:val="left" w:pos="851"/>
          <w:tab w:val="right" w:pos="9072"/>
        </w:tabs>
        <w:rPr>
          <w:rFonts w:asciiTheme="minorHAnsi" w:hAnsiTheme="minorHAnsi" w:cstheme="minorHAnsi"/>
          <w:szCs w:val="22"/>
        </w:rPr>
      </w:pPr>
      <w:r>
        <w:rPr>
          <w:rFonts w:asciiTheme="minorHAnsi" w:hAnsiTheme="minorHAnsi" w:cstheme="minorHAnsi"/>
          <w:szCs w:val="22"/>
        </w:rPr>
        <w:t>SP6 3HQ</w:t>
      </w:r>
    </w:p>
    <w:p>
      <w:pPr>
        <w:tabs>
          <w:tab w:val="left" w:pos="851"/>
          <w:tab w:val="right" w:pos="9072"/>
        </w:tabs>
        <w:rPr>
          <w:rFonts w:asciiTheme="minorHAnsi" w:hAnsiTheme="minorHAnsi" w:cstheme="minorHAnsi"/>
          <w:szCs w:val="22"/>
          <w:lang w:val="es-ES"/>
        </w:rPr>
      </w:pPr>
      <w:r>
        <w:rPr>
          <w:rFonts w:asciiTheme="minorHAnsi" w:hAnsiTheme="minorHAnsi" w:cstheme="minorHAnsi"/>
          <w:szCs w:val="22"/>
        </w:rPr>
        <w:t>T</w:t>
      </w:r>
      <w:r>
        <w:rPr>
          <w:rFonts w:asciiTheme="minorHAnsi" w:hAnsiTheme="minorHAnsi" w:cstheme="minorHAnsi"/>
          <w:szCs w:val="22"/>
          <w:lang w:val="es-ES"/>
        </w:rPr>
        <w:t>el: + 44 1725 518321</w:t>
      </w:r>
    </w:p>
    <w:p>
      <w:pPr>
        <w:tabs>
          <w:tab w:val="left" w:pos="851"/>
          <w:tab w:val="right" w:pos="9072"/>
        </w:tabs>
        <w:rPr>
          <w:rFonts w:asciiTheme="minorHAnsi" w:hAnsiTheme="minorHAnsi" w:cstheme="minorHAnsi"/>
          <w:szCs w:val="22"/>
          <w:lang w:val="es-ES"/>
        </w:rPr>
      </w:pPr>
      <w:r>
        <w:rPr>
          <w:rFonts w:asciiTheme="minorHAnsi" w:hAnsiTheme="minorHAnsi" w:cstheme="minorHAnsi"/>
          <w:szCs w:val="22"/>
          <w:lang w:val="es-ES"/>
        </w:rPr>
        <w:t>Fax: + 44 1725 518378</w:t>
      </w:r>
    </w:p>
    <w:p>
      <w:pPr>
        <w:tabs>
          <w:tab w:val="left" w:pos="851"/>
          <w:tab w:val="right" w:pos="9072"/>
        </w:tabs>
        <w:rPr>
          <w:rFonts w:asciiTheme="minorHAnsi" w:hAnsiTheme="minorHAnsi" w:cstheme="minorHAnsi"/>
          <w:szCs w:val="22"/>
          <w:lang w:val="es-ES"/>
        </w:rPr>
      </w:pPr>
      <w:r>
        <w:rPr>
          <w:rStyle w:val="InternetLink"/>
          <w:rFonts w:asciiTheme="minorHAnsi" w:hAnsiTheme="minorHAnsi" w:cstheme="minorHAnsi"/>
          <w:szCs w:val="22"/>
          <w:lang w:val="es-ES"/>
        </w:rPr>
        <w:t>nigel.may@parkfield.co.uk</w:t>
      </w:r>
    </w:p>
    <w:p>
      <w:pPr>
        <w:tabs>
          <w:tab w:val="left" w:pos="851"/>
          <w:tab w:val="right" w:pos="9072"/>
        </w:tabs>
        <w:rPr>
          <w:rFonts w:asciiTheme="minorHAnsi" w:hAnsiTheme="minorHAnsi" w:cstheme="minorHAnsi"/>
          <w:szCs w:val="22"/>
          <w:lang w:val="es-ES"/>
        </w:rPr>
      </w:pPr>
      <w:r>
        <w:rPr>
          <w:rStyle w:val="InternetLink"/>
          <w:rFonts w:asciiTheme="minorHAnsi" w:hAnsiTheme="minorHAnsi" w:cstheme="minorHAnsi"/>
          <w:szCs w:val="22"/>
          <w:lang w:val="es-ES"/>
        </w:rPr>
        <w:t>www.parkfield.co.uk</w:t>
      </w:r>
    </w:p>
    <w:p>
      <w:pPr>
        <w:tabs>
          <w:tab w:val="left" w:pos="851"/>
          <w:tab w:val="right" w:pos="9072"/>
        </w:tabs>
        <w:rPr>
          <w:rFonts w:asciiTheme="minorHAnsi" w:hAnsiTheme="minorHAnsi" w:cstheme="minorHAnsi"/>
          <w:szCs w:val="22"/>
          <w:lang w:val="es-ES"/>
        </w:rPr>
      </w:pPr>
    </w:p>
    <w:p>
      <w:pPr>
        <w:rPr>
          <w:rFonts w:asciiTheme="minorHAnsi" w:hAnsiTheme="minorHAnsi" w:cstheme="minorHAnsi"/>
        </w:rPr>
      </w:pPr>
    </w:p>
    <w:p>
      <w:pPr>
        <w:rPr>
          <w:rFonts w:asciiTheme="minorHAnsi" w:hAnsiTheme="minorHAnsi" w:cstheme="minorHAnsi"/>
        </w:rPr>
      </w:pPr>
    </w:p>
    <w:sectPr>
      <w:footerReference w:type="default" r:id="rId12"/>
      <w:pgSz w:w="11906" w:h="16838"/>
      <w:pgMar w:top="1418" w:right="1418" w:bottom="1418" w:left="1418" w:header="0" w:footer="68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sz w:val="20"/>
      </w:rPr>
    </w:pPr>
  </w:p>
  <w:p>
    <w:pPr>
      <w:pStyle w:val="Footer"/>
      <w:jc w:val="center"/>
      <w:rPr>
        <w:rFonts w:asciiTheme="minorHAnsi" w:hAnsiTheme="minorHAnsi" w:cstheme="minorHAnsi"/>
        <w:color w:val="A6A6A6" w:themeColor="background1" w:themeShade="A6"/>
        <w:sz w:val="20"/>
      </w:rPr>
    </w:pPr>
  </w:p>
  <w:p>
    <w:pPr>
      <w:pStyle w:val="Footer"/>
      <w:jc w:val="center"/>
      <w:rPr>
        <w:rFonts w:asciiTheme="minorHAnsi" w:hAnsiTheme="minorHAnsi" w:cstheme="minorHAnsi"/>
        <w:color w:val="A6A6A6" w:themeColor="background1" w:themeShade="A6"/>
        <w:sz w:val="20"/>
      </w:rPr>
    </w:pPr>
    <w:r>
      <w:rPr>
        <w:rFonts w:asciiTheme="minorHAnsi" w:hAnsiTheme="minorHAnsi" w:cstheme="minorHAnsi"/>
        <w:color w:val="A6A6A6" w:themeColor="background1" w:themeShade="A6"/>
        <w:sz w:val="20"/>
      </w:rPr>
      <w:t>Hammond Electronics Limited</w:t>
    </w:r>
    <w:r>
      <w:rPr>
        <w:rFonts w:asciiTheme="minorHAnsi" w:hAnsiTheme="minorHAnsi" w:cstheme="minorHAnsi"/>
        <w:color w:val="A6A6A6" w:themeColor="background1" w:themeShade="A6"/>
        <w:sz w:val="20"/>
      </w:rPr>
      <w:br/>
      <w:t>1 Onslow Close, Kingsland Business Park, Basingstoke, RG24 8QL, United Kingdom</w:t>
    </w:r>
    <w:r>
      <w:rPr>
        <w:rFonts w:asciiTheme="minorHAnsi" w:hAnsiTheme="minorHAnsi" w:cstheme="minorHAnsi"/>
        <w:color w:val="A6A6A6" w:themeColor="background1" w:themeShade="A6"/>
        <w:sz w:val="20"/>
      </w:rPr>
      <w:br/>
      <w:t>Tel: + 44 (0)1256 812812   Fax: + 44 (0)1256 332249</w:t>
    </w:r>
  </w:p>
  <w:p>
    <w:pPr>
      <w:pStyle w:val="Footer"/>
      <w:jc w:val="center"/>
      <w:rPr>
        <w:rFonts w:asciiTheme="minorHAnsi" w:hAnsiTheme="minorHAnsi" w:cstheme="minorHAnsi"/>
        <w:color w:val="A6A6A6" w:themeColor="background1" w:themeShade="A6"/>
        <w:sz w:val="20"/>
      </w:rPr>
    </w:pPr>
    <w:hyperlink r:id="rId1" w:history="1">
      <w:r>
        <w:rPr>
          <w:rStyle w:val="Hyperlink"/>
          <w:rFonts w:asciiTheme="minorHAnsi" w:hAnsiTheme="minorHAnsi" w:cstheme="minorHAnsi"/>
          <w:sz w:val="20"/>
        </w:rPr>
        <w:t>sales@hammond-electronics.co.uk</w:t>
      </w:r>
    </w:hyperlink>
    <w:r>
      <w:rPr>
        <w:rFonts w:asciiTheme="minorHAnsi" w:hAnsiTheme="minorHAnsi" w:cstheme="minorHAnsi"/>
        <w:color w:val="A6A6A6" w:themeColor="background1" w:themeShade="A6"/>
        <w:sz w:val="20"/>
      </w:rPr>
      <w:t xml:space="preserve">    </w:t>
    </w:r>
    <w:hyperlink r:id="rId2" w:history="1">
      <w:r>
        <w:rPr>
          <w:rStyle w:val="Hyperlink"/>
          <w:rFonts w:asciiTheme="minorHAnsi" w:hAnsiTheme="minorHAnsi" w:cstheme="minorHAnsi"/>
          <w:sz w:val="20"/>
        </w:rPr>
        <w:t>sales@hammondmfg.eu</w:t>
      </w:r>
    </w:hyperlink>
    <w:r>
      <w:rPr>
        <w:rFonts w:asciiTheme="minorHAnsi" w:hAnsiTheme="minorHAnsi" w:cstheme="minorHAnsi"/>
        <w:color w:val="A6A6A6" w:themeColor="background1" w:themeShade="A6"/>
        <w:sz w:val="20"/>
      </w:rPr>
      <w:t xml:space="preserve">    </w:t>
    </w:r>
    <w:hyperlink r:id="rId3" w:history="1">
      <w:r>
        <w:rPr>
          <w:rStyle w:val="Hyperlink"/>
          <w:rFonts w:asciiTheme="minorHAnsi" w:hAnsiTheme="minorHAnsi" w:cstheme="minorHAnsi"/>
          <w:sz w:val="20"/>
        </w:rPr>
        <w:t>hammondmfg.com</w:t>
      </w:r>
    </w:hyperlink>
  </w:p>
  <w:p>
    <w:pPr>
      <w:pStyle w:val="Footer"/>
      <w:rPr>
        <w:sz w:val="20"/>
      </w:rPr>
    </w:pPr>
  </w:p>
  <w:p>
    <w:pPr>
      <w:pStyle w:val="Footer"/>
      <w:jc w:val="center"/>
      <w:rPr>
        <w:rFonts w:asciiTheme="minorHAnsi" w:hAnsiTheme="minorHAnsi" w:cstheme="minorHAnsi"/>
        <w:color w:val="A6A6A6" w:themeColor="background1" w:themeShade="A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kern w:val="2"/>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customStyle="1" w:styleId="FooterChar">
    <w:name w:val="Footer Char"/>
    <w:basedOn w:val="DefaultParagraphFont"/>
    <w:link w:val="Footer"/>
    <w:qFormat/>
    <w:rPr>
      <w:rFonts w:ascii="Helvetica" w:hAnsi="Helvetica"/>
      <w:kern w:val="2"/>
      <w:sz w:val="22"/>
      <w:lang w:eastAsia="en-US"/>
    </w:r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7-fr.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hammond/1557-print.jp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files/products/1557/wall-mount-foot-installipt.pdf" TargetMode="External"/><Relationship Id="rId5" Type="http://schemas.openxmlformats.org/officeDocument/2006/relationships/endnotes" Target="endnotes.xml"/><Relationship Id="rId10" Type="http://schemas.openxmlformats.org/officeDocument/2006/relationships/hyperlink" Target="https://www.hammfg.com/electronics/small-case/plastic/1557"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Parkfield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Artend</dc:title>
  <dc:subject/>
  <dc:creator>Nigel May</dc:creator>
  <dc:description/>
  <cp:lastModifiedBy>Nigel</cp:lastModifiedBy>
  <cp:revision>2</cp:revision>
  <cp:lastPrinted>2011-03-03T12:35:00Z</cp:lastPrinted>
  <dcterms:created xsi:type="dcterms:W3CDTF">2019-11-15T14:02:00Z</dcterms:created>
  <dcterms:modified xsi:type="dcterms:W3CDTF">2019-11-15T14:02:00Z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