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Cs w:val="22"/>
        </w:rPr>
      </w:pPr>
      <w:r>
        <w:rPr>
          <w:rFonts w:asciiTheme="minorHAnsi" w:hAnsiTheme="minorHAnsi" w:cstheme="minorHAnsi"/>
          <w:noProof/>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Cs w:val="22"/>
        </w:rPr>
      </w:pPr>
    </w:p>
    <w:p>
      <w:pPr>
        <w:tabs>
          <w:tab w:val="left" w:pos="851"/>
          <w:tab w:val="right" w:pos="9072"/>
        </w:tabs>
        <w:rPr>
          <w:rFonts w:asciiTheme="minorHAnsi" w:eastAsiaTheme="minorHAnsi" w:hAnsiTheme="minorHAnsi" w:cstheme="minorHAnsi"/>
          <w:b/>
          <w:bCs/>
          <w:szCs w:val="22"/>
          <w:lang w:val="fr-FR"/>
        </w:rPr>
      </w:pPr>
      <w:r>
        <w:rPr>
          <w:rFonts w:asciiTheme="minorHAnsi" w:eastAsiaTheme="minorHAnsi" w:hAnsiTheme="minorHAnsi" w:cstheme="minorHAnsi"/>
          <w:b/>
          <w:bCs/>
          <w:szCs w:val="22"/>
          <w:lang w:val="fr-FR"/>
        </w:rPr>
        <w:t>Communiqué de presse</w:t>
      </w:r>
    </w:p>
    <w:p>
      <w:pPr>
        <w:widowControl/>
        <w:tabs>
          <w:tab w:val="left" w:pos="851"/>
          <w:tab w:val="right" w:pos="9072"/>
        </w:tabs>
        <w:rPr>
          <w:rFonts w:eastAsia="Calibri" w:cs="Calibri"/>
          <w:b/>
          <w:bCs/>
          <w:snapToGrid/>
          <w:szCs w:val="22"/>
          <w:lang w:val="fr-FR" w:eastAsia="en-US"/>
        </w:rPr>
      </w:pPr>
      <w:r>
        <w:rPr>
          <w:rFonts w:ascii="Helvetica" w:eastAsia="Times New Roman" w:hAnsi="Helvetica"/>
          <w:b/>
          <w:bCs/>
          <w:snapToGrid/>
          <w:kern w:val="2"/>
          <w:sz w:val="20"/>
          <w:lang w:val="fr-FR" w:eastAsia="en-US"/>
        </w:rPr>
        <w:t>Publié le 27 juillet 2020</w:t>
      </w:r>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eastAsiaTheme="minorHAnsi" w:hAnsiTheme="minorHAnsi" w:cstheme="minorHAnsi"/>
          <w:bCs/>
          <w:szCs w:val="22"/>
          <w:lang w:val="fr-FR"/>
        </w:rPr>
      </w:pPr>
      <w:r>
        <w:rPr>
          <w:rFonts w:asciiTheme="minorHAnsi" w:eastAsiaTheme="minorHAnsi" w:hAnsiTheme="minorHAnsi" w:cstheme="minorHAnsi"/>
          <w:bCs/>
          <w:szCs w:val="22"/>
          <w:lang w:val="fr-FR"/>
        </w:rPr>
        <w:t>Pour télécharger une image de qualité 300dpi pour impression,</w:t>
      </w:r>
    </w:p>
    <w:p>
      <w:pPr>
        <w:tabs>
          <w:tab w:val="left" w:pos="851"/>
          <w:tab w:val="right" w:pos="9072"/>
        </w:tabs>
        <w:rPr>
          <w:rFonts w:asciiTheme="minorHAnsi" w:hAnsiTheme="minorHAnsi" w:cstheme="minorHAnsi"/>
          <w:szCs w:val="22"/>
          <w:lang w:val="fr-FR"/>
        </w:rPr>
      </w:pPr>
      <w:proofErr w:type="gramStart"/>
      <w:r>
        <w:rPr>
          <w:rFonts w:asciiTheme="minorHAnsi" w:eastAsiaTheme="minorHAnsi" w:hAnsiTheme="minorHAnsi" w:cstheme="minorHAnsi"/>
          <w:bCs/>
          <w:szCs w:val="22"/>
          <w:lang w:val="fr-FR"/>
        </w:rPr>
        <w:t>rendez</w:t>
      </w:r>
      <w:proofErr w:type="gramEnd"/>
      <w:r>
        <w:rPr>
          <w:rFonts w:asciiTheme="minorHAnsi" w:eastAsiaTheme="minorHAnsi" w:hAnsiTheme="minorHAnsi" w:cstheme="minorHAnsi"/>
          <w:bCs/>
          <w:szCs w:val="22"/>
          <w:lang w:val="fr-FR"/>
        </w:rPr>
        <w:t xml:space="preserve">-vous sur </w:t>
      </w:r>
      <w:hyperlink r:id="rId7" w:history="1">
        <w:r>
          <w:rPr>
            <w:rStyle w:val="Hyperlink"/>
            <w:rFonts w:asciiTheme="minorHAnsi" w:eastAsiaTheme="minorHAnsi" w:hAnsiTheme="minorHAnsi" w:cstheme="minorHAnsi"/>
            <w:bCs/>
            <w:szCs w:val="22"/>
            <w:u w:val="none"/>
            <w:lang w:val="fr-FR"/>
          </w:rPr>
          <w:t>parkfield.co.uk/hammond/ejss-print.jpg</w:t>
        </w:r>
      </w:hyperlink>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télécharger un fichier Word de ce texte, aller sur </w:t>
      </w:r>
      <w:hyperlink r:id="rId8" w:history="1">
        <w:r>
          <w:rPr>
            <w:rStyle w:val="Hyperlink"/>
            <w:rFonts w:asciiTheme="minorHAnsi" w:eastAsiaTheme="minorHAnsi" w:hAnsiTheme="minorHAnsi" w:cstheme="minorHAnsi"/>
            <w:bCs/>
            <w:szCs w:val="22"/>
            <w:u w:val="none"/>
            <w:lang w:val="fr-FR"/>
          </w:rPr>
          <w:t>parkfield.co.uk/hammond/ejss-fr.docx</w:t>
        </w:r>
      </w:hyperlink>
    </w:p>
    <w:p>
      <w:pPr>
        <w:tabs>
          <w:tab w:val="left" w:pos="851"/>
          <w:tab w:val="right" w:pos="9072"/>
        </w:tabs>
        <w:rPr>
          <w:rFonts w:asciiTheme="minorHAnsi" w:eastAsiaTheme="minorHAnsi" w:hAnsiTheme="minorHAnsi" w:cstheme="minorHAnsi"/>
          <w:bCs/>
          <w:szCs w:val="22"/>
          <w:lang w:val="fr-FR"/>
        </w:rPr>
      </w:pPr>
    </w:p>
    <w:p>
      <w:pPr>
        <w:tabs>
          <w:tab w:val="left" w:pos="851"/>
          <w:tab w:val="right" w:pos="9072"/>
        </w:tabs>
        <w:rPr>
          <w:rFonts w:asciiTheme="minorHAnsi" w:hAnsiTheme="minorHAnsi" w:cstheme="minorHAnsi"/>
          <w:szCs w:val="22"/>
          <w:lang w:val="fr-FR"/>
        </w:rPr>
      </w:pPr>
      <w:r>
        <w:rPr>
          <w:rFonts w:asciiTheme="minorHAnsi" w:eastAsiaTheme="minorHAnsi" w:hAnsiTheme="minorHAnsi" w:cstheme="minorHAnsi"/>
          <w:bCs/>
          <w:szCs w:val="22"/>
          <w:lang w:val="fr-FR"/>
        </w:rPr>
        <w:t xml:space="preserve">Pour voir tous les communiqués de presse Hammond, visitez le site </w:t>
      </w:r>
      <w:hyperlink r:id="rId9" w:history="1">
        <w:r>
          <w:rPr>
            <w:rStyle w:val="Hyperlink"/>
            <w:rFonts w:asciiTheme="minorHAnsi" w:eastAsiaTheme="minorHAnsi" w:hAnsiTheme="minorHAnsi" w:cstheme="minorHAnsi"/>
            <w:bCs/>
            <w:szCs w:val="22"/>
            <w:u w:val="none"/>
            <w:lang w:val="fr-FR"/>
          </w:rPr>
          <w:t>parkfield.co.uk/hammond/</w:t>
        </w:r>
      </w:hyperlink>
      <w:r>
        <w:rPr>
          <w:rFonts w:asciiTheme="minorHAnsi" w:eastAsiaTheme="minorHAnsi" w:hAnsiTheme="minorHAnsi" w:cstheme="minorHAnsi"/>
          <w:bCs/>
          <w:szCs w:val="22"/>
          <w:lang w:val="fr-FR"/>
        </w:rPr>
        <w:t xml:space="preserve"> </w:t>
      </w:r>
    </w:p>
    <w:p>
      <w:pPr>
        <w:pStyle w:val="Title"/>
        <w:pBdr>
          <w:top w:val="nil"/>
          <w:left w:val="nil"/>
          <w:bottom w:val="nil"/>
          <w:right w:val="nil"/>
        </w:pBdr>
        <w:jc w:val="left"/>
        <w:rPr>
          <w:rFonts w:asciiTheme="minorHAnsi" w:hAnsiTheme="minorHAnsi" w:cstheme="minorHAnsi"/>
          <w:szCs w:val="22"/>
          <w:lang w:val="fr-FR"/>
        </w:rPr>
      </w:pPr>
    </w:p>
    <w:p>
      <w:pPr>
        <w:tabs>
          <w:tab w:val="left" w:pos="851"/>
          <w:tab w:val="right" w:pos="9072"/>
        </w:tabs>
        <w:rPr>
          <w:b/>
          <w:lang w:val="fr-FR"/>
        </w:rPr>
      </w:pPr>
      <w:r>
        <w:rPr>
          <w:b/>
          <w:bCs/>
          <w:lang w:val="fr"/>
        </w:rPr>
        <w:t>Boîtiers industriels Hammond en inox IP66</w:t>
      </w:r>
    </w:p>
    <w:p>
      <w:pPr>
        <w:tabs>
          <w:tab w:val="left" w:pos="851"/>
          <w:tab w:val="right" w:pos="9072"/>
        </w:tabs>
        <w:jc w:val="center"/>
        <w:rPr>
          <w:b/>
          <w:lang w:val="fr-FR"/>
        </w:rPr>
      </w:pPr>
    </w:p>
    <w:p>
      <w:pPr>
        <w:tabs>
          <w:tab w:val="left" w:pos="851"/>
          <w:tab w:val="right" w:pos="9072"/>
        </w:tabs>
        <w:rPr>
          <w:lang w:val="fr-FR"/>
        </w:rPr>
      </w:pPr>
      <w:hyperlink r:id="rId10" w:history="1">
        <w:r>
          <w:rPr>
            <w:rStyle w:val="Hyperlink"/>
            <w:lang w:val="fr"/>
          </w:rPr>
          <w:t>La gamme IP66 EJSS</w:t>
        </w:r>
      </w:hyperlink>
      <w:r>
        <w:rPr>
          <w:lang w:val="fr"/>
        </w:rPr>
        <w:t xml:space="preserve"> de Hammond Electronics est disponible en inox 304 ou 316 avec finition naturelle brossée lisse. Avec un indice IP66, les boîtiers EJSS conviennent idéalement pour loger les instruments, les commandes électriques, hydrauliques ou pneumatiques, et comme boîtiers de distribution électrique ou boîtes à bornes. Pour les applications comme la transformation des aliments, la lèvre prévue sur le boîtier détourne les liquides et les contaminants de la garniture coulée dans l'ouverture, ce qui facilite le nettoyage.  L'inox est également un excellent matériau pour les zones soumises aux risques de corrosion. La gamme EJSS est déclinées en 22 dimensions, de 102 x 102 x 76 mm à 406 x 356 x 254 mm.  Toutes les tailles, sauf les deux plus petites, sont fournies avec un panneau en acier galvanisé non peint de 1,6 mm d'épaisseur. Les boîtiers EJSS répondent à la norme CEI 60529 IP66 pour les exigences européennes et CE, UL et NEMA 3R, 4, 4X, 12 et 13 pour les marchés nord-américains.</w:t>
      </w:r>
    </w:p>
    <w:p>
      <w:pPr>
        <w:tabs>
          <w:tab w:val="left" w:pos="851"/>
          <w:tab w:val="right" w:pos="9072"/>
        </w:tabs>
        <w:rPr>
          <w:lang w:val="fr-FR"/>
        </w:rPr>
      </w:pPr>
    </w:p>
    <w:p>
      <w:pPr>
        <w:tabs>
          <w:tab w:val="left" w:pos="851"/>
          <w:tab w:val="right" w:pos="9072"/>
        </w:tabs>
        <w:rPr>
          <w:lang w:val="fr-FR"/>
        </w:rPr>
      </w:pPr>
      <w:r>
        <w:rPr>
          <w:lang w:val="fr"/>
        </w:rPr>
        <w:t>Le corps et le couvercle sont en inox de 1,3 mm avec coutures lisses et soudées en continu, sans débouchures, découpes ni trous.  Les butées supérieures et inférieures intégrées sur toute la largeur facilitent la pose du boîtier sur une surface externe. Grâce à sa charnière continue de qualité industrielle, le couvercle s'ouvre à 180° pour faciliter l'accès tandis qu'un verrou quart de tour interdit toute ouverture non autorisée sans outil spécial. Un goujon de liaison est fourni sur la porte et un goujon de mise à la terre est prévu sur le boîtier.</w:t>
      </w:r>
    </w:p>
    <w:p>
      <w:pPr>
        <w:tabs>
          <w:tab w:val="left" w:pos="851"/>
          <w:tab w:val="right" w:pos="9072"/>
        </w:tabs>
        <w:rPr>
          <w:lang w:val="fr-FR"/>
        </w:rPr>
      </w:pPr>
    </w:p>
    <w:p>
      <w:pPr>
        <w:tabs>
          <w:tab w:val="left" w:pos="851"/>
          <w:tab w:val="right" w:pos="9072"/>
        </w:tabs>
        <w:rPr>
          <w:lang w:val="fr-FR"/>
        </w:rPr>
      </w:pPr>
      <w:r>
        <w:rPr>
          <w:lang w:val="fr"/>
        </w:rPr>
        <w:t>*** Fin : corps du texte 252 mots ***</w:t>
      </w:r>
    </w:p>
    <w:p>
      <w:pPr>
        <w:tabs>
          <w:tab w:val="left" w:pos="851"/>
          <w:tab w:val="right" w:pos="9072"/>
        </w:tabs>
        <w:rPr>
          <w:rFonts w:asciiTheme="minorHAnsi" w:hAnsiTheme="minorHAnsi" w:cstheme="minorHAnsi"/>
          <w:b/>
          <w:szCs w:val="22"/>
          <w:lang w:val="fr-FR"/>
        </w:rPr>
      </w:pPr>
    </w:p>
    <w:p>
      <w:pPr>
        <w:widowControl/>
        <w:rPr>
          <w:rFonts w:asciiTheme="minorHAnsi" w:hAnsiTheme="minorHAnsi" w:cstheme="minorHAnsi"/>
          <w:b/>
          <w:szCs w:val="22"/>
          <w:lang w:val="fr-FR"/>
        </w:rPr>
      </w:pPr>
      <w:r>
        <w:rPr>
          <w:rFonts w:asciiTheme="minorHAnsi" w:hAnsiTheme="minorHAnsi" w:cstheme="minorHAnsi"/>
          <w:b/>
          <w:szCs w:val="22"/>
          <w:lang w:val="fr-FR"/>
        </w:rPr>
        <w:br w:type="page"/>
      </w:r>
    </w:p>
    <w:p>
      <w:pPr>
        <w:tabs>
          <w:tab w:val="left" w:pos="851"/>
          <w:tab w:val="right" w:pos="9072"/>
        </w:tabs>
        <w:rPr>
          <w:rFonts w:asciiTheme="minorHAnsi" w:hAnsiTheme="minorHAnsi" w:cstheme="minorHAnsi"/>
          <w:b/>
          <w:szCs w:val="22"/>
          <w:lang w:val="fr-FR"/>
        </w:rPr>
      </w:pPr>
      <w:r>
        <w:rPr>
          <w:rFonts w:asciiTheme="minorHAnsi" w:hAnsiTheme="minorHAnsi" w:cstheme="minorHAnsi"/>
          <w:b/>
          <w:szCs w:val="22"/>
          <w:lang w:val="fr-FR"/>
        </w:rPr>
        <w:lastRenderedPageBreak/>
        <w:t>Notes rédaction.</w:t>
      </w:r>
    </w:p>
    <w:p>
      <w:pPr>
        <w:tabs>
          <w:tab w:val="left" w:pos="851"/>
          <w:tab w:val="right" w:pos="9072"/>
        </w:tabs>
        <w:rPr>
          <w:rFonts w:asciiTheme="minorHAnsi" w:hAnsiTheme="minorHAnsi" w:cstheme="minorHAnsi"/>
          <w:b/>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Pour tout renseignement complémentaire :</w:t>
      </w:r>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rPr>
      </w:pPr>
      <w:r>
        <w:rPr>
          <w:rFonts w:asciiTheme="minorHAnsi" w:hAnsiTheme="minorHAnsi" w:cstheme="minorHAnsi"/>
          <w:szCs w:val="22"/>
        </w:rPr>
        <w:t>Justin Elkins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Electronics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1 Onslow Close</w:t>
      </w:r>
    </w:p>
    <w:p>
      <w:pPr>
        <w:tabs>
          <w:tab w:val="left" w:pos="851"/>
          <w:tab w:val="right" w:pos="9072"/>
        </w:tabs>
        <w:rPr>
          <w:rFonts w:asciiTheme="minorHAnsi" w:hAnsiTheme="minorHAnsi" w:cstheme="minorHAnsi"/>
          <w:szCs w:val="22"/>
        </w:rPr>
      </w:pPr>
      <w:r>
        <w:rPr>
          <w:rFonts w:asciiTheme="minorHAnsi" w:hAnsiTheme="minorHAnsi" w:cstheme="minorHAnsi"/>
          <w:szCs w:val="22"/>
        </w:rPr>
        <w:t>Kingsland Business Park</w:t>
      </w:r>
    </w:p>
    <w:p>
      <w:pPr>
        <w:tabs>
          <w:tab w:val="left" w:pos="851"/>
          <w:tab w:val="right" w:pos="9072"/>
        </w:tabs>
        <w:rPr>
          <w:rFonts w:asciiTheme="minorHAnsi" w:hAnsiTheme="minorHAnsi" w:cstheme="minorHAnsi"/>
          <w:szCs w:val="22"/>
        </w:rPr>
      </w:pPr>
      <w:r>
        <w:rPr>
          <w:rFonts w:asciiTheme="minorHAnsi" w:hAnsiTheme="minorHAnsi" w:cstheme="minorHAnsi"/>
          <w:szCs w:val="22"/>
        </w:rPr>
        <w:t>Basingstoke</w:t>
      </w:r>
    </w:p>
    <w:p>
      <w:pPr>
        <w:tabs>
          <w:tab w:val="left" w:pos="851"/>
          <w:tab w:val="right" w:pos="9072"/>
        </w:tabs>
        <w:rPr>
          <w:rFonts w:asciiTheme="minorHAnsi" w:hAnsiTheme="minorHAnsi" w:cstheme="minorHAnsi"/>
          <w:szCs w:val="22"/>
        </w:rPr>
      </w:pPr>
      <w:r>
        <w:rPr>
          <w:rFonts w:asciiTheme="minorHAnsi" w:hAnsiTheme="minorHAnsi" w:cstheme="minorHAnsi"/>
          <w:szCs w:val="22"/>
        </w:rPr>
        <w:t>RG24 8QL</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1256 812812</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1256 332249</w:t>
      </w:r>
    </w:p>
    <w:p>
      <w:pPr>
        <w:tabs>
          <w:tab w:val="left" w:pos="851"/>
          <w:tab w:val="right" w:pos="9072"/>
        </w:tabs>
        <w:rPr>
          <w:rFonts w:asciiTheme="minorHAnsi" w:hAnsiTheme="minorHAnsi" w:cstheme="minorHAnsi"/>
          <w:szCs w:val="22"/>
        </w:rPr>
      </w:pPr>
      <w:hyperlink r:id="rId11" w:history="1">
        <w:r>
          <w:rPr>
            <w:rStyle w:val="Hyperlink"/>
            <w:rFonts w:asciiTheme="minorHAnsi" w:hAnsiTheme="minorHAnsi" w:cstheme="minorHAnsi"/>
            <w:szCs w:val="22"/>
          </w:rPr>
          <w:t>sales@hammondmfg.eu</w:t>
        </w:r>
      </w:hyperlink>
    </w:p>
    <w:p>
      <w:pPr>
        <w:tabs>
          <w:tab w:val="left" w:pos="851"/>
          <w:tab w:val="right" w:pos="9072"/>
        </w:tabs>
        <w:rPr>
          <w:rFonts w:asciiTheme="minorHAnsi" w:hAnsiTheme="minorHAnsi" w:cstheme="minorHAnsi"/>
          <w:szCs w:val="22"/>
        </w:rPr>
      </w:pPr>
      <w:hyperlink r:id="rId12" w:history="1">
        <w:r>
          <w:rPr>
            <w:rStyle w:val="Hyperlink"/>
            <w:rFonts w:asciiTheme="minorHAnsi" w:hAnsiTheme="minorHAnsi" w:cstheme="minorHAnsi"/>
            <w:szCs w:val="22"/>
          </w:rPr>
          <w:t>hammondmfg.com</w:t>
        </w:r>
      </w:hyperlink>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noProof/>
          <w:szCs w:val="22"/>
        </w:rPr>
      </w:pPr>
      <w:r>
        <w:rPr>
          <w:rFonts w:asciiTheme="minorHAnsi" w:hAnsiTheme="minorHAnsi" w:cstheme="minorHAnsi"/>
          <w:noProof/>
          <w:szCs w:val="22"/>
        </w:rPr>
        <w:t>Contact agence :</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lang w:val="fr-FR"/>
        </w:rPr>
      </w:pPr>
      <w:proofErr w:type="spellStart"/>
      <w:r>
        <w:rPr>
          <w:rFonts w:asciiTheme="minorHAnsi" w:hAnsiTheme="minorHAnsi" w:cstheme="minorHAnsi"/>
          <w:szCs w:val="22"/>
          <w:lang w:val="fr-FR"/>
        </w:rPr>
        <w:t>Hants</w:t>
      </w:r>
      <w:proofErr w:type="spellEnd"/>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SP6 3HQ</w:t>
      </w:r>
    </w:p>
    <w:p>
      <w:pPr>
        <w:tabs>
          <w:tab w:val="left" w:pos="851"/>
          <w:tab w:val="right" w:pos="9072"/>
        </w:tabs>
        <w:rPr>
          <w:rFonts w:asciiTheme="minorHAnsi" w:hAnsiTheme="minorHAnsi" w:cstheme="minorHAnsi"/>
          <w:szCs w:val="22"/>
          <w:lang w:val="fr-FR"/>
        </w:rPr>
      </w:pPr>
      <w:proofErr w:type="gramStart"/>
      <w:r>
        <w:rPr>
          <w:rFonts w:asciiTheme="minorHAnsi" w:hAnsiTheme="minorHAnsi" w:cstheme="minorHAnsi"/>
          <w:szCs w:val="22"/>
          <w:lang w:val="fr-FR"/>
        </w:rPr>
        <w:t>Tel:</w:t>
      </w:r>
      <w:proofErr w:type="gramEnd"/>
      <w:r>
        <w:rPr>
          <w:rFonts w:asciiTheme="minorHAnsi" w:hAnsiTheme="minorHAnsi" w:cstheme="minorHAnsi"/>
          <w:szCs w:val="22"/>
          <w:lang w:val="fr-FR"/>
        </w:rPr>
        <w:t xml:space="preserve"> + 44 1725 518321</w:t>
      </w:r>
    </w:p>
    <w:p>
      <w:pPr>
        <w:tabs>
          <w:tab w:val="left" w:pos="851"/>
          <w:tab w:val="right" w:pos="9072"/>
        </w:tabs>
        <w:rPr>
          <w:rFonts w:asciiTheme="minorHAnsi" w:hAnsiTheme="minorHAnsi" w:cstheme="minorHAnsi"/>
          <w:szCs w:val="22"/>
          <w:lang w:val="fr-FR"/>
        </w:rPr>
      </w:pPr>
      <w:hyperlink r:id="rId13" w:history="1">
        <w:r>
          <w:rPr>
            <w:rStyle w:val="Hyperlink"/>
            <w:rFonts w:asciiTheme="minorHAnsi" w:hAnsiTheme="minorHAnsi" w:cstheme="minorHAnsi"/>
            <w:szCs w:val="22"/>
            <w:lang w:val="fr-FR"/>
          </w:rPr>
          <w:t>nigel.may@parkfield.co.uk</w:t>
        </w:r>
      </w:hyperlink>
    </w:p>
    <w:p>
      <w:pPr>
        <w:tabs>
          <w:tab w:val="left" w:pos="851"/>
          <w:tab w:val="right" w:pos="9072"/>
        </w:tabs>
        <w:rPr>
          <w:rFonts w:asciiTheme="minorHAnsi" w:hAnsiTheme="minorHAnsi" w:cstheme="minorHAnsi"/>
          <w:szCs w:val="22"/>
          <w:lang w:val="fr-FR"/>
        </w:rPr>
      </w:pPr>
      <w:hyperlink r:id="rId14" w:history="1">
        <w:r>
          <w:rPr>
            <w:rStyle w:val="Hyperlink"/>
            <w:rFonts w:asciiTheme="minorHAnsi" w:hAnsiTheme="minorHAnsi" w:cstheme="minorHAnsi"/>
            <w:szCs w:val="22"/>
            <w:lang w:val="fr-FR"/>
          </w:rPr>
          <w:t>parkfield.co.uk</w:t>
        </w:r>
      </w:hyperlink>
    </w:p>
    <w:p>
      <w:pPr>
        <w:tabs>
          <w:tab w:val="left" w:pos="851"/>
          <w:tab w:val="right" w:pos="9072"/>
        </w:tabs>
        <w:rPr>
          <w:rFonts w:asciiTheme="minorHAnsi" w:hAnsiTheme="minorHAnsi" w:cstheme="minorHAnsi"/>
          <w:szCs w:val="22"/>
          <w:lang w:val="fr-FR"/>
        </w:rPr>
      </w:pPr>
    </w:p>
    <w:p>
      <w:pPr>
        <w:tabs>
          <w:tab w:val="left" w:pos="851"/>
          <w:tab w:val="right" w:pos="9072"/>
        </w:tabs>
        <w:rPr>
          <w:rFonts w:eastAsiaTheme="minorHAnsi"/>
          <w:lang w:val="fr-FR" w:eastAsia="en-US"/>
        </w:rPr>
      </w:pPr>
      <w:r>
        <w:rPr>
          <w:rFonts w:eastAsiaTheme="minorHAnsi"/>
          <w:lang w:val="fr-FR" w:eastAsia="en-US"/>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rFonts w:asciiTheme="minorHAnsi" w:hAnsiTheme="minorHAnsi" w:cstheme="minorHAnsi"/>
          <w:szCs w:val="22"/>
          <w:lang w:val="fr-FR"/>
        </w:rPr>
      </w:pPr>
    </w:p>
    <w:p>
      <w:pPr>
        <w:tabs>
          <w:tab w:val="left" w:pos="851"/>
          <w:tab w:val="right" w:pos="9072"/>
        </w:tabs>
        <w:rPr>
          <w:b/>
          <w:lang w:val="fr-FR"/>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isplayBackgroundShape/>
  <w:printPostScriptOverText/>
  <w:proofState w:spelling="clean" w:grammar="clean"/>
  <w:defaultTabStop w:val="567"/>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Helvetica" w:hAnsi="Helvetica"/>
      <w:b/>
      <w:bCs/>
      <w:kern w:val="2"/>
      <w:szCs w:val="24"/>
      <w:lang w:eastAsia="en-US"/>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hAnsi="Helvetica"/>
      <w:b/>
      <w:bCs/>
      <w:kern w:val="2"/>
      <w:szCs w:val="24"/>
      <w:lang w:eastAsia="en-US"/>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ejss-fr.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s://www.parkfield.co.uk/hammond/ejss-print.jpg" TargetMode="External"/><Relationship Id="rId12" Type="http://schemas.openxmlformats.org/officeDocument/2006/relationships/hyperlink" Target="http://www.hammondmfg.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hammfg.com/electrical/products/stainless/ejss"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2020-07-24T09:14:00Z</dcterms:created>
  <dcterms:modified xsi:type="dcterms:W3CDTF">2020-07-24T09:15:00Z</dcterms:modified>
</cp:coreProperties>
</file>